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page" w:tblpX="681" w:tblpY="-59"/>
        <w:tblW w:w="14248" w:type="dxa"/>
        <w:tblLayout w:type="fixed"/>
        <w:tblLook w:val="04A0" w:firstRow="1" w:lastRow="0" w:firstColumn="1" w:lastColumn="0" w:noHBand="0" w:noVBand="1"/>
      </w:tblPr>
      <w:tblGrid>
        <w:gridCol w:w="2354"/>
        <w:gridCol w:w="1084"/>
        <w:gridCol w:w="942"/>
        <w:gridCol w:w="1758"/>
        <w:gridCol w:w="935"/>
        <w:gridCol w:w="145"/>
        <w:gridCol w:w="1272"/>
        <w:gridCol w:w="1276"/>
        <w:gridCol w:w="242"/>
        <w:gridCol w:w="1034"/>
        <w:gridCol w:w="226"/>
        <w:gridCol w:w="908"/>
        <w:gridCol w:w="682"/>
        <w:gridCol w:w="1380"/>
        <w:gridCol w:w="10"/>
      </w:tblGrid>
      <w:tr w:rsidR="00145C48" w:rsidRPr="003B1031" w14:paraId="5AD28485" w14:textId="77777777" w:rsidTr="00145C48">
        <w:trPr>
          <w:trHeight w:val="617"/>
        </w:trPr>
        <w:tc>
          <w:tcPr>
            <w:tcW w:w="14248" w:type="dxa"/>
            <w:gridSpan w:val="15"/>
            <w:tcBorders>
              <w:top w:val="single" w:sz="12" w:space="0" w:color="auto"/>
              <w:left w:val="single" w:sz="12" w:space="0" w:color="auto"/>
              <w:bottom w:val="nil"/>
              <w:right w:val="single" w:sz="12" w:space="0" w:color="auto"/>
            </w:tcBorders>
            <w:vAlign w:val="center"/>
          </w:tcPr>
          <w:p w14:paraId="43179270" w14:textId="77777777" w:rsidR="00145C48" w:rsidRPr="00093132" w:rsidRDefault="00145C48" w:rsidP="00145C48">
            <w:pPr>
              <w:rPr>
                <w:b/>
                <w:sz w:val="20"/>
              </w:rPr>
            </w:pPr>
            <w:r>
              <w:rPr>
                <w:b/>
                <w:sz w:val="20"/>
              </w:rPr>
              <w:t>LÉGENDE</w:t>
            </w:r>
          </w:p>
          <w:p w14:paraId="7A599C6A" w14:textId="77777777" w:rsidR="00145C48" w:rsidRPr="00093132" w:rsidRDefault="00145C48" w:rsidP="00145C48">
            <w:pPr>
              <w:shd w:val="clear" w:color="auto" w:fill="FFFFFF" w:themeFill="background1"/>
              <w:rPr>
                <w:sz w:val="18"/>
                <w:szCs w:val="20"/>
              </w:rPr>
            </w:pPr>
            <w:r>
              <w:rPr>
                <w:sz w:val="20"/>
                <w:szCs w:val="20"/>
              </w:rPr>
              <w:t>(Veuillez noter : Plusieurs objectifs stratégiques comportent de multiples initiatives.  Tous les objectifs stratégiques sont pluriannuels, sauf indication contraire)</w:t>
            </w:r>
          </w:p>
        </w:tc>
      </w:tr>
      <w:tr w:rsidR="00145C48" w:rsidRPr="003B1031" w14:paraId="479458AF" w14:textId="77777777" w:rsidTr="00B1117D">
        <w:trPr>
          <w:gridAfter w:val="1"/>
          <w:wAfter w:w="10" w:type="dxa"/>
        </w:trPr>
        <w:tc>
          <w:tcPr>
            <w:tcW w:w="2354" w:type="dxa"/>
            <w:tcBorders>
              <w:top w:val="single" w:sz="12" w:space="0" w:color="auto"/>
              <w:left w:val="single" w:sz="12" w:space="0" w:color="auto"/>
              <w:bottom w:val="single" w:sz="12" w:space="0" w:color="auto"/>
              <w:right w:val="nil"/>
            </w:tcBorders>
            <w:shd w:val="clear" w:color="auto" w:fill="auto"/>
            <w:vAlign w:val="center"/>
          </w:tcPr>
          <w:p w14:paraId="5932BF73" w14:textId="77777777" w:rsidR="00145C48" w:rsidRPr="00BD1D05" w:rsidRDefault="00145C48" w:rsidP="009B7C36">
            <w:pPr>
              <w:jc w:val="center"/>
              <w:rPr>
                <w:sz w:val="20"/>
              </w:rPr>
            </w:pPr>
            <w:r>
              <w:rPr>
                <w:sz w:val="20"/>
              </w:rPr>
              <w:t>Satisfaisante (70 % ou plus des initiatives complétées)</w:t>
            </w:r>
          </w:p>
        </w:tc>
        <w:tc>
          <w:tcPr>
            <w:tcW w:w="1084" w:type="dxa"/>
            <w:tcBorders>
              <w:top w:val="single" w:sz="12" w:space="0" w:color="auto"/>
              <w:left w:val="nil"/>
              <w:bottom w:val="single" w:sz="4" w:space="0" w:color="auto"/>
              <w:right w:val="single" w:sz="12" w:space="0" w:color="auto"/>
            </w:tcBorders>
            <w:shd w:val="clear" w:color="auto" w:fill="92D050"/>
            <w:vAlign w:val="center"/>
          </w:tcPr>
          <w:p w14:paraId="0AE79684" w14:textId="77777777" w:rsidR="00145C48" w:rsidRPr="00BD1D05" w:rsidRDefault="00145C48" w:rsidP="009B7C36">
            <w:pPr>
              <w:jc w:val="center"/>
              <w:rPr>
                <w:sz w:val="20"/>
              </w:rPr>
            </w:pPr>
          </w:p>
        </w:tc>
        <w:tc>
          <w:tcPr>
            <w:tcW w:w="2700" w:type="dxa"/>
            <w:gridSpan w:val="2"/>
            <w:tcBorders>
              <w:top w:val="single" w:sz="12" w:space="0" w:color="auto"/>
              <w:left w:val="single" w:sz="12" w:space="0" w:color="auto"/>
              <w:bottom w:val="single" w:sz="12" w:space="0" w:color="auto"/>
              <w:right w:val="nil"/>
            </w:tcBorders>
            <w:shd w:val="clear" w:color="auto" w:fill="auto"/>
            <w:vAlign w:val="center"/>
          </w:tcPr>
          <w:p w14:paraId="71860377" w14:textId="77777777" w:rsidR="00145C48" w:rsidRPr="00BD1D05" w:rsidRDefault="00145C48" w:rsidP="009B7C36">
            <w:pPr>
              <w:jc w:val="center"/>
              <w:rPr>
                <w:sz w:val="20"/>
              </w:rPr>
            </w:pPr>
            <w:r>
              <w:rPr>
                <w:sz w:val="20"/>
              </w:rPr>
              <w:t>Mesures supplémentaires requises (50 % ou plus des initiatives complétées)</w:t>
            </w:r>
          </w:p>
        </w:tc>
        <w:tc>
          <w:tcPr>
            <w:tcW w:w="1080" w:type="dxa"/>
            <w:gridSpan w:val="2"/>
            <w:tcBorders>
              <w:top w:val="single" w:sz="12" w:space="0" w:color="auto"/>
              <w:left w:val="nil"/>
              <w:bottom w:val="single" w:sz="12" w:space="0" w:color="auto"/>
              <w:right w:val="single" w:sz="12" w:space="0" w:color="auto"/>
            </w:tcBorders>
            <w:shd w:val="clear" w:color="auto" w:fill="FFC000"/>
            <w:vAlign w:val="center"/>
          </w:tcPr>
          <w:p w14:paraId="3D3FF14E" w14:textId="77777777" w:rsidR="00145C48" w:rsidRPr="00BD1D05" w:rsidRDefault="00145C48" w:rsidP="009B7C36">
            <w:pPr>
              <w:jc w:val="center"/>
              <w:rPr>
                <w:sz w:val="20"/>
              </w:rPr>
            </w:pPr>
          </w:p>
        </w:tc>
        <w:tc>
          <w:tcPr>
            <w:tcW w:w="2790" w:type="dxa"/>
            <w:gridSpan w:val="3"/>
            <w:tcBorders>
              <w:top w:val="single" w:sz="12" w:space="0" w:color="auto"/>
              <w:left w:val="single" w:sz="12" w:space="0" w:color="auto"/>
              <w:bottom w:val="single" w:sz="12" w:space="0" w:color="auto"/>
              <w:right w:val="nil"/>
            </w:tcBorders>
            <w:shd w:val="clear" w:color="auto" w:fill="auto"/>
            <w:vAlign w:val="center"/>
          </w:tcPr>
          <w:p w14:paraId="59190797" w14:textId="77777777" w:rsidR="00145C48" w:rsidRPr="00BD1D05" w:rsidRDefault="00145C48" w:rsidP="009B7C36">
            <w:pPr>
              <w:jc w:val="center"/>
              <w:rPr>
                <w:sz w:val="20"/>
              </w:rPr>
            </w:pPr>
            <w:r>
              <w:rPr>
                <w:sz w:val="20"/>
              </w:rPr>
              <w:t>Mesures requises/Insuffisante (Moins de 50 % des initiatives complétées)</w:t>
            </w:r>
          </w:p>
        </w:tc>
        <w:tc>
          <w:tcPr>
            <w:tcW w:w="1260" w:type="dxa"/>
            <w:gridSpan w:val="2"/>
            <w:tcBorders>
              <w:top w:val="single" w:sz="12" w:space="0" w:color="auto"/>
              <w:left w:val="nil"/>
              <w:bottom w:val="single" w:sz="12" w:space="0" w:color="auto"/>
              <w:right w:val="single" w:sz="12" w:space="0" w:color="auto"/>
            </w:tcBorders>
            <w:shd w:val="clear" w:color="auto" w:fill="FF0000"/>
            <w:vAlign w:val="center"/>
          </w:tcPr>
          <w:p w14:paraId="304505EC" w14:textId="77777777" w:rsidR="00145C48" w:rsidRPr="00BD1D05" w:rsidRDefault="00145C48" w:rsidP="009B7C36">
            <w:pPr>
              <w:jc w:val="center"/>
              <w:rPr>
                <w:sz w:val="20"/>
              </w:rPr>
            </w:pPr>
          </w:p>
        </w:tc>
        <w:tc>
          <w:tcPr>
            <w:tcW w:w="1590" w:type="dxa"/>
            <w:gridSpan w:val="2"/>
            <w:tcBorders>
              <w:top w:val="single" w:sz="12" w:space="0" w:color="auto"/>
              <w:left w:val="single" w:sz="12" w:space="0" w:color="auto"/>
              <w:bottom w:val="single" w:sz="12" w:space="0" w:color="auto"/>
              <w:right w:val="nil"/>
            </w:tcBorders>
            <w:shd w:val="clear" w:color="auto" w:fill="auto"/>
            <w:vAlign w:val="center"/>
          </w:tcPr>
          <w:p w14:paraId="6300EEF2" w14:textId="77777777" w:rsidR="00145C48" w:rsidRPr="00BD1D05" w:rsidRDefault="00145C48" w:rsidP="00145C48">
            <w:pPr>
              <w:jc w:val="center"/>
              <w:rPr>
                <w:sz w:val="20"/>
              </w:rPr>
            </w:pPr>
            <w:r>
              <w:rPr>
                <w:sz w:val="20"/>
              </w:rPr>
              <w:t>S.O. pour l’exercice financier</w:t>
            </w:r>
          </w:p>
        </w:tc>
        <w:tc>
          <w:tcPr>
            <w:tcW w:w="1380" w:type="dxa"/>
            <w:tcBorders>
              <w:top w:val="single" w:sz="12" w:space="0" w:color="auto"/>
              <w:left w:val="nil"/>
              <w:bottom w:val="single" w:sz="12" w:space="0" w:color="auto"/>
              <w:right w:val="single" w:sz="12" w:space="0" w:color="auto"/>
            </w:tcBorders>
            <w:shd w:val="clear" w:color="auto" w:fill="000000" w:themeFill="text1"/>
            <w:vAlign w:val="center"/>
          </w:tcPr>
          <w:p w14:paraId="35DBAD4E" w14:textId="77777777" w:rsidR="00145C48" w:rsidRPr="00BD1D05" w:rsidRDefault="00145C48" w:rsidP="009B7C36">
            <w:pPr>
              <w:jc w:val="center"/>
              <w:rPr>
                <w:sz w:val="20"/>
              </w:rPr>
            </w:pPr>
          </w:p>
        </w:tc>
      </w:tr>
      <w:tr w:rsidR="00E02E1B" w:rsidRPr="003B1031" w14:paraId="700F10B1" w14:textId="77777777" w:rsidTr="003A08F0">
        <w:trPr>
          <w:gridAfter w:val="1"/>
          <w:wAfter w:w="10" w:type="dxa"/>
        </w:trPr>
        <w:tc>
          <w:tcPr>
            <w:tcW w:w="4380" w:type="dxa"/>
            <w:gridSpan w:val="3"/>
            <w:tcBorders>
              <w:top w:val="single" w:sz="12" w:space="0" w:color="auto"/>
              <w:left w:val="single" w:sz="12" w:space="0" w:color="auto"/>
              <w:bottom w:val="single" w:sz="12" w:space="0" w:color="auto"/>
            </w:tcBorders>
            <w:shd w:val="clear" w:color="auto" w:fill="C6D9F1" w:themeFill="text2" w:themeFillTint="33"/>
            <w:vAlign w:val="center"/>
          </w:tcPr>
          <w:p w14:paraId="211B1921" w14:textId="77777777" w:rsidR="00145C48" w:rsidRDefault="00E02E1B" w:rsidP="009B7C36">
            <w:pPr>
              <w:jc w:val="center"/>
              <w:rPr>
                <w:rFonts w:cs="Arial"/>
              </w:rPr>
            </w:pPr>
            <w:r>
              <w:t>Objectifs stratégiques</w:t>
            </w:r>
          </w:p>
          <w:p w14:paraId="279FBB84" w14:textId="2026106A" w:rsidR="00E02E1B" w:rsidRPr="003B1031" w:rsidRDefault="00E02E1B" w:rsidP="009B7C36">
            <w:pPr>
              <w:jc w:val="center"/>
              <w:rPr>
                <w:i/>
                <w:sz w:val="20"/>
              </w:rPr>
            </w:pPr>
            <w:r>
              <w:t xml:space="preserve"> - Facteurs clés de réussite </w:t>
            </w:r>
            <w:r w:rsidR="00DC53E8">
              <w:t>-</w:t>
            </w:r>
          </w:p>
          <w:p w14:paraId="35E97718" w14:textId="77777777" w:rsidR="00E02E1B" w:rsidRPr="003B1031" w:rsidRDefault="00E02E1B" w:rsidP="009B7C36">
            <w:pPr>
              <w:jc w:val="center"/>
              <w:rPr>
                <w:i/>
                <w:sz w:val="20"/>
              </w:rPr>
            </w:pPr>
          </w:p>
        </w:tc>
        <w:tc>
          <w:tcPr>
            <w:tcW w:w="2693" w:type="dxa"/>
            <w:gridSpan w:val="2"/>
            <w:tcBorders>
              <w:top w:val="single" w:sz="12" w:space="0" w:color="auto"/>
              <w:bottom w:val="single" w:sz="12" w:space="0" w:color="auto"/>
            </w:tcBorders>
            <w:shd w:val="clear" w:color="auto" w:fill="C6D9F1" w:themeFill="text2" w:themeFillTint="33"/>
            <w:vAlign w:val="center"/>
          </w:tcPr>
          <w:p w14:paraId="588A99C7" w14:textId="77777777" w:rsidR="00E02E1B" w:rsidRDefault="00E02E1B" w:rsidP="00201A6C">
            <w:pPr>
              <w:ind w:left="-114" w:right="-102"/>
              <w:jc w:val="center"/>
              <w:rPr>
                <w:i/>
                <w:sz w:val="20"/>
              </w:rPr>
            </w:pPr>
            <w:r>
              <w:rPr>
                <w:i/>
                <w:sz w:val="20"/>
              </w:rPr>
              <w:t xml:space="preserve">Comité assigné </w:t>
            </w:r>
          </w:p>
          <w:p w14:paraId="583A3AC3" w14:textId="77777777" w:rsidR="00E02E1B" w:rsidRPr="003B1031" w:rsidRDefault="00E02E1B" w:rsidP="00201A6C">
            <w:pPr>
              <w:ind w:left="-114" w:right="-102"/>
              <w:jc w:val="center"/>
              <w:rPr>
                <w:i/>
                <w:sz w:val="20"/>
              </w:rPr>
            </w:pPr>
            <w:r>
              <w:rPr>
                <w:i/>
                <w:sz w:val="20"/>
              </w:rPr>
              <w:t>(s’il y a lieu)</w:t>
            </w:r>
          </w:p>
        </w:tc>
        <w:tc>
          <w:tcPr>
            <w:tcW w:w="1417" w:type="dxa"/>
            <w:gridSpan w:val="2"/>
            <w:tcBorders>
              <w:top w:val="single" w:sz="12" w:space="0" w:color="auto"/>
              <w:bottom w:val="single" w:sz="12" w:space="0" w:color="auto"/>
            </w:tcBorders>
            <w:shd w:val="clear" w:color="auto" w:fill="C6D9F1" w:themeFill="text2" w:themeFillTint="33"/>
            <w:vAlign w:val="center"/>
          </w:tcPr>
          <w:p w14:paraId="4CED3204" w14:textId="77777777" w:rsidR="00E02E1B" w:rsidRDefault="00E02E1B" w:rsidP="00E02E1B">
            <w:pPr>
              <w:jc w:val="center"/>
              <w:rPr>
                <w:i/>
                <w:sz w:val="20"/>
              </w:rPr>
            </w:pPr>
            <w:r>
              <w:rPr>
                <w:i/>
                <w:sz w:val="20"/>
              </w:rPr>
              <w:t>N</w:t>
            </w:r>
            <w:r>
              <w:rPr>
                <w:i/>
                <w:sz w:val="20"/>
                <w:vertAlign w:val="superscript"/>
              </w:rPr>
              <w:t>o</w:t>
            </w:r>
            <w:r>
              <w:rPr>
                <w:i/>
                <w:sz w:val="20"/>
              </w:rPr>
              <w:t xml:space="preserve"> total d’initiatives</w:t>
            </w:r>
          </w:p>
        </w:tc>
        <w:tc>
          <w:tcPr>
            <w:tcW w:w="1276" w:type="dxa"/>
            <w:tcBorders>
              <w:top w:val="single" w:sz="12" w:space="0" w:color="auto"/>
              <w:bottom w:val="single" w:sz="12" w:space="0" w:color="auto"/>
            </w:tcBorders>
            <w:shd w:val="clear" w:color="auto" w:fill="C6D9F1" w:themeFill="text2" w:themeFillTint="33"/>
          </w:tcPr>
          <w:p w14:paraId="42A4A1DD" w14:textId="77777777" w:rsidR="00E02E1B" w:rsidRDefault="00E02E1B" w:rsidP="008B6A79">
            <w:pPr>
              <w:jc w:val="center"/>
              <w:rPr>
                <w:i/>
                <w:sz w:val="20"/>
              </w:rPr>
            </w:pPr>
            <w:r>
              <w:rPr>
                <w:i/>
                <w:sz w:val="20"/>
              </w:rPr>
              <w:t>AF</w:t>
            </w:r>
          </w:p>
          <w:p w14:paraId="40E27008" w14:textId="77777777" w:rsidR="00E02E1B" w:rsidRDefault="00E02E1B" w:rsidP="008B6A79">
            <w:pPr>
              <w:jc w:val="center"/>
              <w:rPr>
                <w:i/>
                <w:sz w:val="20"/>
              </w:rPr>
            </w:pPr>
            <w:r>
              <w:rPr>
                <w:i/>
                <w:sz w:val="20"/>
              </w:rPr>
              <w:t>2019</w:t>
            </w:r>
          </w:p>
          <w:p w14:paraId="49F0A717" w14:textId="77777777" w:rsidR="00E02E1B" w:rsidRPr="003B1031" w:rsidRDefault="00E02E1B" w:rsidP="00ED39F4">
            <w:pPr>
              <w:jc w:val="center"/>
              <w:rPr>
                <w:i/>
                <w:sz w:val="20"/>
              </w:rPr>
            </w:pPr>
            <w:r>
              <w:rPr>
                <w:i/>
                <w:sz w:val="20"/>
              </w:rPr>
              <w:t>2020</w:t>
            </w:r>
          </w:p>
        </w:tc>
        <w:tc>
          <w:tcPr>
            <w:tcW w:w="1276" w:type="dxa"/>
            <w:gridSpan w:val="2"/>
            <w:tcBorders>
              <w:top w:val="single" w:sz="12" w:space="0" w:color="auto"/>
              <w:bottom w:val="single" w:sz="12" w:space="0" w:color="auto"/>
            </w:tcBorders>
            <w:shd w:val="clear" w:color="auto" w:fill="C6D9F1" w:themeFill="text2" w:themeFillTint="33"/>
          </w:tcPr>
          <w:p w14:paraId="3047026F" w14:textId="77777777" w:rsidR="00E02E1B" w:rsidRDefault="00E02E1B" w:rsidP="008B6A79">
            <w:pPr>
              <w:jc w:val="center"/>
              <w:rPr>
                <w:i/>
                <w:sz w:val="20"/>
              </w:rPr>
            </w:pPr>
            <w:r>
              <w:rPr>
                <w:i/>
                <w:sz w:val="20"/>
              </w:rPr>
              <w:t>AF</w:t>
            </w:r>
          </w:p>
          <w:p w14:paraId="2F353770" w14:textId="77777777" w:rsidR="00E02E1B" w:rsidRDefault="00E02E1B" w:rsidP="008B6A79">
            <w:pPr>
              <w:jc w:val="center"/>
              <w:rPr>
                <w:i/>
                <w:sz w:val="20"/>
              </w:rPr>
            </w:pPr>
            <w:r>
              <w:rPr>
                <w:i/>
                <w:sz w:val="20"/>
              </w:rPr>
              <w:t>2020</w:t>
            </w:r>
          </w:p>
          <w:p w14:paraId="279C98BC" w14:textId="77777777" w:rsidR="00E02E1B" w:rsidRPr="003B1031" w:rsidRDefault="00E02E1B" w:rsidP="00ED39F4">
            <w:pPr>
              <w:jc w:val="center"/>
              <w:rPr>
                <w:i/>
                <w:sz w:val="20"/>
              </w:rPr>
            </w:pPr>
            <w:r>
              <w:rPr>
                <w:i/>
                <w:sz w:val="20"/>
              </w:rPr>
              <w:t>2021</w:t>
            </w:r>
          </w:p>
        </w:tc>
        <w:tc>
          <w:tcPr>
            <w:tcW w:w="1134" w:type="dxa"/>
            <w:gridSpan w:val="2"/>
            <w:tcBorders>
              <w:top w:val="single" w:sz="12" w:space="0" w:color="auto"/>
              <w:bottom w:val="single" w:sz="12" w:space="0" w:color="auto"/>
            </w:tcBorders>
            <w:shd w:val="clear" w:color="auto" w:fill="C6D9F1" w:themeFill="text2" w:themeFillTint="33"/>
          </w:tcPr>
          <w:p w14:paraId="3D9C1DFE" w14:textId="77777777" w:rsidR="00E02E1B" w:rsidRDefault="00E02E1B" w:rsidP="008B6A79">
            <w:pPr>
              <w:jc w:val="center"/>
              <w:rPr>
                <w:i/>
                <w:sz w:val="20"/>
              </w:rPr>
            </w:pPr>
            <w:r>
              <w:rPr>
                <w:i/>
                <w:sz w:val="20"/>
              </w:rPr>
              <w:t>AF</w:t>
            </w:r>
          </w:p>
          <w:p w14:paraId="29376DDF" w14:textId="77777777" w:rsidR="00E02E1B" w:rsidRDefault="00E02E1B" w:rsidP="008B6A79">
            <w:pPr>
              <w:jc w:val="center"/>
              <w:rPr>
                <w:i/>
                <w:sz w:val="20"/>
              </w:rPr>
            </w:pPr>
            <w:r>
              <w:rPr>
                <w:i/>
                <w:sz w:val="20"/>
              </w:rPr>
              <w:t>2021</w:t>
            </w:r>
          </w:p>
          <w:p w14:paraId="4E7EBA42" w14:textId="77777777" w:rsidR="00E02E1B" w:rsidRPr="003B1031" w:rsidRDefault="00E02E1B" w:rsidP="00ED39F4">
            <w:pPr>
              <w:jc w:val="center"/>
              <w:rPr>
                <w:i/>
                <w:sz w:val="20"/>
              </w:rPr>
            </w:pPr>
            <w:r>
              <w:rPr>
                <w:i/>
                <w:sz w:val="20"/>
              </w:rPr>
              <w:t>2022</w:t>
            </w:r>
          </w:p>
        </w:tc>
        <w:tc>
          <w:tcPr>
            <w:tcW w:w="2062" w:type="dxa"/>
            <w:gridSpan w:val="2"/>
            <w:tcBorders>
              <w:top w:val="single" w:sz="12" w:space="0" w:color="auto"/>
              <w:bottom w:val="single" w:sz="12" w:space="0" w:color="auto"/>
              <w:right w:val="single" w:sz="12" w:space="0" w:color="auto"/>
            </w:tcBorders>
            <w:shd w:val="clear" w:color="auto" w:fill="C6D9F1" w:themeFill="text2" w:themeFillTint="33"/>
            <w:vAlign w:val="center"/>
          </w:tcPr>
          <w:p w14:paraId="6EBC634B" w14:textId="77777777" w:rsidR="00E02E1B" w:rsidRDefault="00E02E1B" w:rsidP="009B7C36">
            <w:pPr>
              <w:jc w:val="center"/>
              <w:rPr>
                <w:i/>
                <w:sz w:val="20"/>
              </w:rPr>
            </w:pPr>
            <w:r>
              <w:rPr>
                <w:i/>
                <w:sz w:val="20"/>
              </w:rPr>
              <w:t>Situation</w:t>
            </w:r>
          </w:p>
          <w:p w14:paraId="4C3A34F9" w14:textId="77777777" w:rsidR="00E02E1B" w:rsidRPr="003B1031" w:rsidRDefault="00E02E1B" w:rsidP="009B7C36">
            <w:pPr>
              <w:jc w:val="center"/>
              <w:rPr>
                <w:i/>
                <w:sz w:val="20"/>
              </w:rPr>
            </w:pPr>
            <w:r>
              <w:rPr>
                <w:i/>
                <w:sz w:val="20"/>
              </w:rPr>
              <w:t>globale</w:t>
            </w:r>
          </w:p>
        </w:tc>
      </w:tr>
      <w:tr w:rsidR="00FE2BD7" w:rsidRPr="008B6A79" w14:paraId="61827B2B" w14:textId="77777777" w:rsidTr="003A08F0">
        <w:trPr>
          <w:gridAfter w:val="1"/>
          <w:wAfter w:w="10" w:type="dxa"/>
        </w:trPr>
        <w:tc>
          <w:tcPr>
            <w:tcW w:w="4380" w:type="dxa"/>
            <w:gridSpan w:val="3"/>
            <w:tcBorders>
              <w:top w:val="single" w:sz="12" w:space="0" w:color="auto"/>
              <w:left w:val="single" w:sz="12" w:space="0" w:color="auto"/>
            </w:tcBorders>
            <w:shd w:val="clear" w:color="auto" w:fill="FFFFFF" w:themeFill="background1"/>
          </w:tcPr>
          <w:p w14:paraId="5EB61F32" w14:textId="53EC386C" w:rsidR="00FE2BD7" w:rsidRPr="00145C48" w:rsidRDefault="00FE2BD7" w:rsidP="00FE2BD7">
            <w:pPr>
              <w:ind w:left="731" w:hanging="731"/>
              <w:rPr>
                <w:rFonts w:eastAsia="Times New Roman" w:cs="Arial"/>
                <w:sz w:val="20"/>
              </w:rPr>
            </w:pPr>
            <w:r>
              <w:rPr>
                <w:sz w:val="20"/>
              </w:rPr>
              <w:t>a</w:t>
            </w:r>
            <w:r>
              <w:rPr>
                <w:sz w:val="20"/>
              </w:rPr>
              <w:tab/>
              <w:t>Bâtir et soutenir continuellement la culture des services du Service ontarien de la surdicécité</w:t>
            </w:r>
          </w:p>
          <w:p w14:paraId="0BD7A951" w14:textId="77777777" w:rsidR="00FE2BD7" w:rsidRPr="00145C48" w:rsidRDefault="00FE2BD7" w:rsidP="00FE2BD7">
            <w:pPr>
              <w:rPr>
                <w:sz w:val="20"/>
                <w:szCs w:val="20"/>
              </w:rPr>
            </w:pPr>
          </w:p>
        </w:tc>
        <w:tc>
          <w:tcPr>
            <w:tcW w:w="2693" w:type="dxa"/>
            <w:gridSpan w:val="2"/>
            <w:tcBorders>
              <w:top w:val="single" w:sz="12" w:space="0" w:color="auto"/>
            </w:tcBorders>
            <w:shd w:val="clear" w:color="auto" w:fill="FFFFFF" w:themeFill="background1"/>
            <w:vAlign w:val="center"/>
          </w:tcPr>
          <w:p w14:paraId="6B874E55" w14:textId="77777777" w:rsidR="00FE2BD7" w:rsidRDefault="00FE2BD7" w:rsidP="00FE2BD7">
            <w:pPr>
              <w:ind w:left="-114" w:right="-102"/>
              <w:jc w:val="center"/>
              <w:rPr>
                <w:sz w:val="20"/>
                <w:szCs w:val="20"/>
              </w:rPr>
            </w:pPr>
            <w:r>
              <w:rPr>
                <w:sz w:val="20"/>
                <w:szCs w:val="20"/>
              </w:rPr>
              <w:t>Finances</w:t>
            </w:r>
          </w:p>
          <w:p w14:paraId="40D4FEC7" w14:textId="77777777" w:rsidR="00FE2BD7" w:rsidRDefault="00FE2BD7" w:rsidP="00FE2BD7">
            <w:pPr>
              <w:ind w:left="-114" w:right="-102"/>
              <w:jc w:val="center"/>
              <w:rPr>
                <w:sz w:val="20"/>
                <w:szCs w:val="20"/>
              </w:rPr>
            </w:pPr>
            <w:r>
              <w:rPr>
                <w:sz w:val="20"/>
                <w:szCs w:val="20"/>
              </w:rPr>
              <w:t>Gouvernance</w:t>
            </w:r>
          </w:p>
          <w:p w14:paraId="463EE159" w14:textId="77777777" w:rsidR="00FE2BD7" w:rsidRPr="008B6A79" w:rsidRDefault="00FE2BD7" w:rsidP="00FE2BD7">
            <w:pPr>
              <w:ind w:left="-114" w:right="-102"/>
              <w:jc w:val="center"/>
              <w:rPr>
                <w:sz w:val="20"/>
                <w:szCs w:val="20"/>
              </w:rPr>
            </w:pPr>
            <w:r>
              <w:rPr>
                <w:sz w:val="20"/>
                <w:szCs w:val="20"/>
              </w:rPr>
              <w:t>Relations gouvernementales</w:t>
            </w:r>
          </w:p>
        </w:tc>
        <w:tc>
          <w:tcPr>
            <w:tcW w:w="1417" w:type="dxa"/>
            <w:gridSpan w:val="2"/>
            <w:tcBorders>
              <w:top w:val="single" w:sz="12" w:space="0" w:color="auto"/>
            </w:tcBorders>
            <w:shd w:val="clear" w:color="auto" w:fill="auto"/>
            <w:vAlign w:val="center"/>
          </w:tcPr>
          <w:p w14:paraId="7557F0FD" w14:textId="77777777" w:rsidR="00FE2BD7" w:rsidRPr="00145C48" w:rsidRDefault="00FE2BD7" w:rsidP="00FE2BD7">
            <w:pPr>
              <w:jc w:val="center"/>
              <w:rPr>
                <w:sz w:val="18"/>
                <w:szCs w:val="18"/>
              </w:rPr>
            </w:pPr>
            <w:r>
              <w:rPr>
                <w:sz w:val="18"/>
                <w:szCs w:val="18"/>
              </w:rPr>
              <w:t>4</w:t>
            </w:r>
          </w:p>
        </w:tc>
        <w:tc>
          <w:tcPr>
            <w:tcW w:w="1276" w:type="dxa"/>
            <w:tcBorders>
              <w:top w:val="single" w:sz="12" w:space="0" w:color="auto"/>
            </w:tcBorders>
            <w:shd w:val="clear" w:color="auto" w:fill="92D050"/>
            <w:vAlign w:val="center"/>
          </w:tcPr>
          <w:p w14:paraId="49C51C0F" w14:textId="77777777" w:rsidR="00FE2BD7" w:rsidRPr="00145C48" w:rsidRDefault="00FE2BD7" w:rsidP="00FE2BD7">
            <w:pPr>
              <w:jc w:val="center"/>
              <w:rPr>
                <w:sz w:val="18"/>
                <w:szCs w:val="18"/>
              </w:rPr>
            </w:pPr>
            <w:r>
              <w:rPr>
                <w:sz w:val="18"/>
                <w:szCs w:val="18"/>
              </w:rPr>
              <w:t>2</w:t>
            </w:r>
          </w:p>
        </w:tc>
        <w:tc>
          <w:tcPr>
            <w:tcW w:w="1276" w:type="dxa"/>
            <w:gridSpan w:val="2"/>
            <w:tcBorders>
              <w:top w:val="single" w:sz="12" w:space="0" w:color="auto"/>
            </w:tcBorders>
            <w:shd w:val="clear" w:color="auto" w:fill="92D050"/>
            <w:vAlign w:val="center"/>
          </w:tcPr>
          <w:p w14:paraId="29D258EC" w14:textId="6E91DDCA" w:rsidR="00FE2BD7" w:rsidRPr="00D15DD6" w:rsidRDefault="00FE2BD7" w:rsidP="00FE2BD7">
            <w:pPr>
              <w:ind w:left="-108" w:right="-108"/>
              <w:jc w:val="center"/>
              <w:rPr>
                <w:sz w:val="16"/>
                <w:szCs w:val="20"/>
              </w:rPr>
            </w:pPr>
            <w:r>
              <w:rPr>
                <w:sz w:val="16"/>
                <w:szCs w:val="20"/>
              </w:rPr>
              <w:t>1</w:t>
            </w:r>
          </w:p>
        </w:tc>
        <w:tc>
          <w:tcPr>
            <w:tcW w:w="1134" w:type="dxa"/>
            <w:gridSpan w:val="2"/>
            <w:tcBorders>
              <w:top w:val="single" w:sz="12" w:space="0" w:color="auto"/>
            </w:tcBorders>
            <w:shd w:val="clear" w:color="auto" w:fill="92D050"/>
            <w:vAlign w:val="center"/>
          </w:tcPr>
          <w:p w14:paraId="05AA17AD" w14:textId="52CAD042" w:rsidR="00FE2BD7" w:rsidRPr="008B6A79" w:rsidRDefault="00FE2BD7" w:rsidP="00FE2BD7">
            <w:pPr>
              <w:jc w:val="center"/>
              <w:rPr>
                <w:sz w:val="20"/>
                <w:szCs w:val="20"/>
              </w:rPr>
            </w:pPr>
            <w:r>
              <w:rPr>
                <w:sz w:val="16"/>
                <w:szCs w:val="20"/>
              </w:rPr>
              <w:t>1</w:t>
            </w:r>
          </w:p>
        </w:tc>
        <w:tc>
          <w:tcPr>
            <w:tcW w:w="2062" w:type="dxa"/>
            <w:gridSpan w:val="2"/>
            <w:tcBorders>
              <w:top w:val="single" w:sz="12" w:space="0" w:color="auto"/>
              <w:right w:val="single" w:sz="12" w:space="0" w:color="auto"/>
            </w:tcBorders>
            <w:shd w:val="clear" w:color="auto" w:fill="auto"/>
          </w:tcPr>
          <w:p w14:paraId="695AF554" w14:textId="77777777" w:rsidR="00FE2BD7" w:rsidRPr="008B6A79" w:rsidRDefault="00FE2BD7" w:rsidP="00FE2BD7">
            <w:pPr>
              <w:jc w:val="center"/>
              <w:rPr>
                <w:sz w:val="20"/>
                <w:szCs w:val="20"/>
              </w:rPr>
            </w:pPr>
          </w:p>
        </w:tc>
      </w:tr>
      <w:tr w:rsidR="00FE2BD7" w:rsidRPr="008B6A79" w14:paraId="0CC4FB72" w14:textId="77777777" w:rsidTr="003A08F0">
        <w:trPr>
          <w:gridAfter w:val="1"/>
          <w:wAfter w:w="10" w:type="dxa"/>
        </w:trPr>
        <w:tc>
          <w:tcPr>
            <w:tcW w:w="4380" w:type="dxa"/>
            <w:gridSpan w:val="3"/>
            <w:tcBorders>
              <w:left w:val="single" w:sz="12" w:space="0" w:color="auto"/>
            </w:tcBorders>
            <w:shd w:val="clear" w:color="auto" w:fill="FFFFFF" w:themeFill="background1"/>
          </w:tcPr>
          <w:p w14:paraId="65BC10C9" w14:textId="77777777" w:rsidR="00FE2BD7" w:rsidRPr="00145C48" w:rsidRDefault="00FE2BD7" w:rsidP="00FE2BD7">
            <w:pPr>
              <w:rPr>
                <w:rFonts w:eastAsia="Times New Roman" w:cs="Arial"/>
                <w:sz w:val="20"/>
              </w:rPr>
            </w:pPr>
            <w:r>
              <w:rPr>
                <w:sz w:val="20"/>
              </w:rPr>
              <w:t>b</w:t>
            </w:r>
            <w:r>
              <w:rPr>
                <w:sz w:val="20"/>
              </w:rPr>
              <w:tab/>
              <w:t>Autonomiser les employés à tous les niveaux</w:t>
            </w:r>
          </w:p>
          <w:p w14:paraId="7ADCEBFF" w14:textId="77777777" w:rsidR="00FE2BD7" w:rsidRPr="00145C48" w:rsidRDefault="00FE2BD7" w:rsidP="00FE2BD7">
            <w:pPr>
              <w:pStyle w:val="ListParagraph"/>
              <w:ind w:left="1632"/>
              <w:rPr>
                <w:sz w:val="20"/>
                <w:szCs w:val="20"/>
              </w:rPr>
            </w:pPr>
          </w:p>
        </w:tc>
        <w:tc>
          <w:tcPr>
            <w:tcW w:w="2693" w:type="dxa"/>
            <w:gridSpan w:val="2"/>
            <w:shd w:val="clear" w:color="auto" w:fill="FFFFFF" w:themeFill="background1"/>
            <w:vAlign w:val="center"/>
          </w:tcPr>
          <w:p w14:paraId="085694F2" w14:textId="77777777" w:rsidR="00FE2BD7" w:rsidRPr="008B6A79" w:rsidRDefault="00FE2BD7" w:rsidP="00FE2BD7">
            <w:pPr>
              <w:ind w:left="-114" w:right="-102"/>
              <w:jc w:val="center"/>
              <w:rPr>
                <w:sz w:val="20"/>
                <w:szCs w:val="20"/>
              </w:rPr>
            </w:pPr>
          </w:p>
        </w:tc>
        <w:tc>
          <w:tcPr>
            <w:tcW w:w="1417" w:type="dxa"/>
            <w:gridSpan w:val="2"/>
            <w:shd w:val="clear" w:color="auto" w:fill="auto"/>
            <w:vAlign w:val="center"/>
          </w:tcPr>
          <w:p w14:paraId="7C9CAC67" w14:textId="77777777" w:rsidR="00FE2BD7" w:rsidRPr="00145C48" w:rsidRDefault="00FE2BD7" w:rsidP="00FE2BD7">
            <w:pPr>
              <w:jc w:val="center"/>
              <w:rPr>
                <w:sz w:val="18"/>
                <w:szCs w:val="18"/>
              </w:rPr>
            </w:pPr>
            <w:r>
              <w:rPr>
                <w:sz w:val="18"/>
                <w:szCs w:val="18"/>
              </w:rPr>
              <w:t>3</w:t>
            </w:r>
          </w:p>
        </w:tc>
        <w:tc>
          <w:tcPr>
            <w:tcW w:w="1276" w:type="dxa"/>
            <w:shd w:val="clear" w:color="auto" w:fill="92D050"/>
            <w:vAlign w:val="center"/>
          </w:tcPr>
          <w:p w14:paraId="218ED6DE" w14:textId="77777777" w:rsidR="00FE2BD7" w:rsidRPr="00145C48" w:rsidRDefault="00FE2BD7" w:rsidP="00FE2BD7">
            <w:pPr>
              <w:jc w:val="center"/>
              <w:rPr>
                <w:sz w:val="18"/>
                <w:szCs w:val="18"/>
              </w:rPr>
            </w:pPr>
            <w:r>
              <w:rPr>
                <w:sz w:val="18"/>
                <w:szCs w:val="18"/>
              </w:rPr>
              <w:t>3</w:t>
            </w:r>
          </w:p>
        </w:tc>
        <w:tc>
          <w:tcPr>
            <w:tcW w:w="1276" w:type="dxa"/>
            <w:gridSpan w:val="2"/>
            <w:shd w:val="clear" w:color="auto" w:fill="92D050"/>
            <w:vAlign w:val="center"/>
          </w:tcPr>
          <w:p w14:paraId="7FD5C867" w14:textId="77777777" w:rsidR="00FE2BD7" w:rsidRPr="00D15DD6" w:rsidRDefault="00FE2BD7" w:rsidP="00FE2BD7">
            <w:pPr>
              <w:ind w:left="-108" w:right="-108"/>
              <w:jc w:val="center"/>
              <w:rPr>
                <w:sz w:val="16"/>
                <w:szCs w:val="20"/>
              </w:rPr>
            </w:pPr>
          </w:p>
        </w:tc>
        <w:tc>
          <w:tcPr>
            <w:tcW w:w="1134" w:type="dxa"/>
            <w:gridSpan w:val="2"/>
            <w:shd w:val="clear" w:color="auto" w:fill="92D050"/>
          </w:tcPr>
          <w:p w14:paraId="47761BBE" w14:textId="77777777" w:rsidR="00FE2BD7" w:rsidRPr="008B6A79" w:rsidRDefault="00FE2BD7" w:rsidP="00FE2BD7">
            <w:pPr>
              <w:rPr>
                <w:sz w:val="20"/>
                <w:szCs w:val="20"/>
              </w:rPr>
            </w:pPr>
          </w:p>
        </w:tc>
        <w:tc>
          <w:tcPr>
            <w:tcW w:w="2062" w:type="dxa"/>
            <w:gridSpan w:val="2"/>
            <w:tcBorders>
              <w:right w:val="single" w:sz="12" w:space="0" w:color="auto"/>
            </w:tcBorders>
            <w:shd w:val="clear" w:color="auto" w:fill="auto"/>
            <w:vAlign w:val="center"/>
          </w:tcPr>
          <w:p w14:paraId="19131979" w14:textId="77777777" w:rsidR="00FE2BD7" w:rsidRPr="008B6A79" w:rsidRDefault="00FE2BD7" w:rsidP="00FE2BD7">
            <w:pPr>
              <w:jc w:val="center"/>
              <w:rPr>
                <w:sz w:val="20"/>
                <w:szCs w:val="20"/>
              </w:rPr>
            </w:pPr>
          </w:p>
        </w:tc>
      </w:tr>
      <w:tr w:rsidR="00FE2BD7" w:rsidRPr="008B6A79" w14:paraId="4C4B2169" w14:textId="77777777" w:rsidTr="003A08F0">
        <w:trPr>
          <w:gridAfter w:val="1"/>
          <w:wAfter w:w="10" w:type="dxa"/>
          <w:trHeight w:val="1150"/>
        </w:trPr>
        <w:tc>
          <w:tcPr>
            <w:tcW w:w="4380" w:type="dxa"/>
            <w:gridSpan w:val="3"/>
            <w:tcBorders>
              <w:left w:val="single" w:sz="12" w:space="0" w:color="auto"/>
            </w:tcBorders>
            <w:shd w:val="clear" w:color="auto" w:fill="FFFFFF" w:themeFill="background1"/>
          </w:tcPr>
          <w:p w14:paraId="7BEEF8A3" w14:textId="77777777" w:rsidR="00FE2BD7" w:rsidRDefault="00FE2BD7" w:rsidP="00FE2BD7">
            <w:pPr>
              <w:rPr>
                <w:rFonts w:eastAsia="Times New Roman" w:cs="Arial"/>
                <w:sz w:val="20"/>
              </w:rPr>
            </w:pPr>
            <w:r>
              <w:rPr>
                <w:sz w:val="20"/>
              </w:rPr>
              <w:t>c</w:t>
            </w:r>
            <w:r>
              <w:rPr>
                <w:sz w:val="20"/>
              </w:rPr>
              <w:tab/>
              <w:t xml:space="preserve">Favoriser la collaboration externe (provincial, national, </w:t>
            </w:r>
          </w:p>
          <w:p w14:paraId="19C57636" w14:textId="77777777" w:rsidR="00FE2BD7" w:rsidRPr="00145C48" w:rsidRDefault="00FE2BD7" w:rsidP="00FE2BD7">
            <w:pPr>
              <w:rPr>
                <w:rFonts w:eastAsia="Times New Roman" w:cs="Arial"/>
                <w:sz w:val="20"/>
              </w:rPr>
            </w:pPr>
            <w:r>
              <w:rPr>
                <w:sz w:val="20"/>
              </w:rPr>
              <w:t xml:space="preserve">             international)</w:t>
            </w:r>
          </w:p>
          <w:p w14:paraId="4754A5CC" w14:textId="77777777" w:rsidR="00FE2BD7" w:rsidRPr="00145C48" w:rsidRDefault="00FE2BD7" w:rsidP="00FE2BD7">
            <w:pPr>
              <w:pStyle w:val="ListParagraph"/>
              <w:ind w:left="1632"/>
              <w:rPr>
                <w:sz w:val="20"/>
                <w:szCs w:val="20"/>
              </w:rPr>
            </w:pPr>
          </w:p>
        </w:tc>
        <w:tc>
          <w:tcPr>
            <w:tcW w:w="2693" w:type="dxa"/>
            <w:gridSpan w:val="2"/>
            <w:shd w:val="clear" w:color="auto" w:fill="FFFFFF" w:themeFill="background1"/>
            <w:vAlign w:val="center"/>
          </w:tcPr>
          <w:p w14:paraId="15695515" w14:textId="77777777" w:rsidR="00FE2BD7" w:rsidRDefault="00FE2BD7" w:rsidP="00FE2BD7">
            <w:pPr>
              <w:ind w:left="-114" w:right="-102"/>
              <w:jc w:val="center"/>
              <w:rPr>
                <w:sz w:val="20"/>
                <w:szCs w:val="20"/>
              </w:rPr>
            </w:pPr>
            <w:r>
              <w:rPr>
                <w:sz w:val="20"/>
                <w:szCs w:val="20"/>
              </w:rPr>
              <w:t>Relations gouvernementales</w:t>
            </w:r>
          </w:p>
          <w:p w14:paraId="04F1D588" w14:textId="77777777" w:rsidR="00FE2BD7" w:rsidRDefault="00FE2BD7" w:rsidP="00FE2BD7">
            <w:pPr>
              <w:ind w:left="-114" w:right="-102"/>
              <w:jc w:val="center"/>
              <w:rPr>
                <w:sz w:val="20"/>
                <w:szCs w:val="20"/>
              </w:rPr>
            </w:pPr>
            <w:r>
              <w:rPr>
                <w:sz w:val="20"/>
                <w:szCs w:val="20"/>
              </w:rPr>
              <w:t>Services à la clientèle</w:t>
            </w:r>
          </w:p>
          <w:p w14:paraId="4C998026" w14:textId="77777777" w:rsidR="00FE2BD7" w:rsidRDefault="00FE2BD7" w:rsidP="00FE2BD7">
            <w:pPr>
              <w:ind w:left="-114" w:right="-102"/>
              <w:jc w:val="center"/>
              <w:rPr>
                <w:sz w:val="20"/>
                <w:szCs w:val="20"/>
              </w:rPr>
            </w:pPr>
            <w:r>
              <w:rPr>
                <w:sz w:val="20"/>
                <w:szCs w:val="20"/>
              </w:rPr>
              <w:t>Finances</w:t>
            </w:r>
          </w:p>
          <w:p w14:paraId="37D5FF0E" w14:textId="77777777" w:rsidR="00FE2BD7" w:rsidRPr="008B6A79" w:rsidRDefault="00FE2BD7" w:rsidP="00FE2BD7">
            <w:pPr>
              <w:ind w:left="-114" w:right="-102"/>
              <w:jc w:val="center"/>
              <w:rPr>
                <w:sz w:val="20"/>
                <w:szCs w:val="20"/>
              </w:rPr>
            </w:pPr>
            <w:r>
              <w:rPr>
                <w:sz w:val="20"/>
                <w:szCs w:val="20"/>
              </w:rPr>
              <w:t>Gouvernance</w:t>
            </w:r>
          </w:p>
        </w:tc>
        <w:tc>
          <w:tcPr>
            <w:tcW w:w="1417" w:type="dxa"/>
            <w:gridSpan w:val="2"/>
            <w:shd w:val="clear" w:color="auto" w:fill="auto"/>
            <w:vAlign w:val="center"/>
          </w:tcPr>
          <w:p w14:paraId="27A6A058" w14:textId="77777777" w:rsidR="00FE2BD7" w:rsidRPr="00145C48" w:rsidRDefault="00FE2BD7" w:rsidP="00FE2BD7">
            <w:pPr>
              <w:ind w:left="-108" w:right="-108"/>
              <w:jc w:val="center"/>
              <w:rPr>
                <w:sz w:val="18"/>
                <w:szCs w:val="18"/>
              </w:rPr>
            </w:pPr>
            <w:r>
              <w:rPr>
                <w:sz w:val="18"/>
                <w:szCs w:val="18"/>
              </w:rPr>
              <w:t>7</w:t>
            </w:r>
          </w:p>
        </w:tc>
        <w:tc>
          <w:tcPr>
            <w:tcW w:w="1276" w:type="dxa"/>
            <w:shd w:val="clear" w:color="auto" w:fill="92D050"/>
            <w:vAlign w:val="center"/>
          </w:tcPr>
          <w:p w14:paraId="3E6204CB" w14:textId="290D89B9" w:rsidR="00FE2BD7" w:rsidRPr="00145C48" w:rsidRDefault="00FE2BD7" w:rsidP="00FE2BD7">
            <w:pPr>
              <w:ind w:left="-108" w:right="-108"/>
              <w:jc w:val="center"/>
              <w:rPr>
                <w:sz w:val="18"/>
                <w:szCs w:val="18"/>
              </w:rPr>
            </w:pPr>
            <w:r>
              <w:rPr>
                <w:sz w:val="18"/>
                <w:szCs w:val="18"/>
              </w:rPr>
              <w:t>3</w:t>
            </w:r>
          </w:p>
        </w:tc>
        <w:tc>
          <w:tcPr>
            <w:tcW w:w="1276" w:type="dxa"/>
            <w:gridSpan w:val="2"/>
            <w:shd w:val="clear" w:color="auto" w:fill="92D050"/>
            <w:vAlign w:val="center"/>
          </w:tcPr>
          <w:p w14:paraId="515EBBC2" w14:textId="07695474" w:rsidR="00FE2BD7" w:rsidRPr="00D15DD6" w:rsidRDefault="00FE2BD7" w:rsidP="00FE2BD7">
            <w:pPr>
              <w:ind w:left="-108" w:right="-108"/>
              <w:jc w:val="center"/>
              <w:rPr>
                <w:sz w:val="16"/>
                <w:szCs w:val="20"/>
              </w:rPr>
            </w:pPr>
            <w:r>
              <w:rPr>
                <w:sz w:val="16"/>
                <w:szCs w:val="20"/>
              </w:rPr>
              <w:t>2</w:t>
            </w:r>
          </w:p>
        </w:tc>
        <w:tc>
          <w:tcPr>
            <w:tcW w:w="1134" w:type="dxa"/>
            <w:gridSpan w:val="2"/>
            <w:shd w:val="clear" w:color="auto" w:fill="92D050"/>
          </w:tcPr>
          <w:p w14:paraId="0C034BD8" w14:textId="77777777" w:rsidR="00FE2BD7" w:rsidRDefault="00FE2BD7" w:rsidP="00FE2BD7">
            <w:pPr>
              <w:jc w:val="center"/>
              <w:rPr>
                <w:sz w:val="20"/>
                <w:szCs w:val="20"/>
              </w:rPr>
            </w:pPr>
          </w:p>
          <w:p w14:paraId="7CFCC63B" w14:textId="77777777" w:rsidR="00FE2BD7" w:rsidRDefault="00FE2BD7" w:rsidP="00FE2BD7">
            <w:pPr>
              <w:jc w:val="center"/>
              <w:rPr>
                <w:sz w:val="20"/>
                <w:szCs w:val="20"/>
              </w:rPr>
            </w:pPr>
          </w:p>
          <w:p w14:paraId="3A55DD6A" w14:textId="2ADDD730" w:rsidR="00FE2BD7" w:rsidRPr="008B6A79" w:rsidRDefault="00FE2BD7" w:rsidP="00FE2BD7">
            <w:pPr>
              <w:jc w:val="center"/>
              <w:rPr>
                <w:sz w:val="20"/>
                <w:szCs w:val="20"/>
              </w:rPr>
            </w:pPr>
            <w:r w:rsidRPr="00FE2BD7">
              <w:rPr>
                <w:sz w:val="16"/>
                <w:szCs w:val="20"/>
              </w:rPr>
              <w:t>2</w:t>
            </w:r>
          </w:p>
        </w:tc>
        <w:tc>
          <w:tcPr>
            <w:tcW w:w="2062" w:type="dxa"/>
            <w:gridSpan w:val="2"/>
            <w:tcBorders>
              <w:right w:val="single" w:sz="12" w:space="0" w:color="auto"/>
            </w:tcBorders>
            <w:shd w:val="clear" w:color="auto" w:fill="auto"/>
            <w:vAlign w:val="center"/>
          </w:tcPr>
          <w:p w14:paraId="0B1C007B" w14:textId="77777777" w:rsidR="00FE2BD7" w:rsidRPr="008B6A79" w:rsidRDefault="00FE2BD7" w:rsidP="00FE2BD7">
            <w:pPr>
              <w:jc w:val="center"/>
              <w:rPr>
                <w:sz w:val="20"/>
                <w:szCs w:val="20"/>
              </w:rPr>
            </w:pPr>
          </w:p>
        </w:tc>
      </w:tr>
      <w:tr w:rsidR="00FE2BD7" w:rsidRPr="008B6A79" w14:paraId="11275E75" w14:textId="77777777" w:rsidTr="003A08F0">
        <w:trPr>
          <w:gridAfter w:val="1"/>
          <w:wAfter w:w="10" w:type="dxa"/>
          <w:trHeight w:val="345"/>
        </w:trPr>
        <w:tc>
          <w:tcPr>
            <w:tcW w:w="4380" w:type="dxa"/>
            <w:gridSpan w:val="3"/>
            <w:vMerge w:val="restart"/>
            <w:tcBorders>
              <w:left w:val="single" w:sz="12" w:space="0" w:color="auto"/>
            </w:tcBorders>
            <w:shd w:val="clear" w:color="auto" w:fill="FFFFFF" w:themeFill="background1"/>
          </w:tcPr>
          <w:p w14:paraId="6413F154" w14:textId="787FFBE8" w:rsidR="00FE2BD7" w:rsidRPr="00145C48" w:rsidRDefault="00FE2BD7" w:rsidP="00FE2BD7">
            <w:pPr>
              <w:ind w:left="731" w:hanging="731"/>
              <w:rPr>
                <w:rFonts w:eastAsia="Times New Roman" w:cs="Arial"/>
                <w:sz w:val="20"/>
              </w:rPr>
            </w:pPr>
            <w:r>
              <w:rPr>
                <w:sz w:val="20"/>
              </w:rPr>
              <w:t>d</w:t>
            </w:r>
            <w:r>
              <w:rPr>
                <w:sz w:val="20"/>
              </w:rPr>
              <w:tab/>
              <w:t>Poursuivre l’évolution et la croissance des services du Service ontarien de la surdicécité</w:t>
            </w:r>
          </w:p>
          <w:p w14:paraId="6C1E02AC" w14:textId="77777777" w:rsidR="00FE2BD7" w:rsidRPr="00145C48" w:rsidRDefault="00FE2BD7" w:rsidP="00FE2BD7">
            <w:pPr>
              <w:pStyle w:val="ListParagraph"/>
              <w:ind w:left="1632"/>
              <w:rPr>
                <w:sz w:val="20"/>
                <w:szCs w:val="20"/>
              </w:rPr>
            </w:pPr>
          </w:p>
        </w:tc>
        <w:tc>
          <w:tcPr>
            <w:tcW w:w="2693" w:type="dxa"/>
            <w:gridSpan w:val="2"/>
            <w:vMerge w:val="restart"/>
            <w:shd w:val="clear" w:color="auto" w:fill="FFFFFF" w:themeFill="background1"/>
            <w:vAlign w:val="center"/>
          </w:tcPr>
          <w:p w14:paraId="5659748C" w14:textId="77777777" w:rsidR="00FE2BD7" w:rsidRDefault="00FE2BD7" w:rsidP="00FE2BD7">
            <w:pPr>
              <w:ind w:left="-114" w:right="-102"/>
              <w:jc w:val="center"/>
              <w:rPr>
                <w:sz w:val="20"/>
                <w:szCs w:val="20"/>
              </w:rPr>
            </w:pPr>
            <w:r>
              <w:rPr>
                <w:sz w:val="20"/>
                <w:szCs w:val="20"/>
              </w:rPr>
              <w:t>Services à la clientèle</w:t>
            </w:r>
          </w:p>
          <w:p w14:paraId="40D906A3" w14:textId="77777777" w:rsidR="00FE2BD7" w:rsidRPr="008B6A79" w:rsidRDefault="00FE2BD7" w:rsidP="00FE2BD7">
            <w:pPr>
              <w:ind w:left="-114" w:right="-102"/>
              <w:jc w:val="center"/>
              <w:rPr>
                <w:sz w:val="20"/>
                <w:szCs w:val="20"/>
              </w:rPr>
            </w:pPr>
            <w:r>
              <w:rPr>
                <w:sz w:val="20"/>
                <w:szCs w:val="20"/>
              </w:rPr>
              <w:t>Finances</w:t>
            </w:r>
          </w:p>
        </w:tc>
        <w:tc>
          <w:tcPr>
            <w:tcW w:w="1417" w:type="dxa"/>
            <w:gridSpan w:val="2"/>
            <w:vMerge w:val="restart"/>
            <w:shd w:val="clear" w:color="auto" w:fill="auto"/>
            <w:vAlign w:val="center"/>
          </w:tcPr>
          <w:p w14:paraId="60E064A5" w14:textId="77777777" w:rsidR="00FE2BD7" w:rsidRPr="00145C48" w:rsidRDefault="00FE2BD7" w:rsidP="00FE2BD7">
            <w:pPr>
              <w:ind w:left="-108" w:right="-108"/>
              <w:jc w:val="center"/>
              <w:rPr>
                <w:sz w:val="18"/>
                <w:szCs w:val="18"/>
              </w:rPr>
            </w:pPr>
            <w:r>
              <w:rPr>
                <w:sz w:val="18"/>
                <w:szCs w:val="18"/>
              </w:rPr>
              <w:t>6</w:t>
            </w:r>
          </w:p>
        </w:tc>
        <w:tc>
          <w:tcPr>
            <w:tcW w:w="1276" w:type="dxa"/>
            <w:vMerge w:val="restart"/>
            <w:shd w:val="clear" w:color="auto" w:fill="92D050"/>
            <w:vAlign w:val="center"/>
          </w:tcPr>
          <w:p w14:paraId="1B81E815" w14:textId="7F131F82" w:rsidR="00FE2BD7" w:rsidRPr="00145C48" w:rsidRDefault="00FE2BD7" w:rsidP="00FE2BD7">
            <w:pPr>
              <w:ind w:left="-108" w:right="-108"/>
              <w:jc w:val="center"/>
              <w:rPr>
                <w:sz w:val="18"/>
                <w:szCs w:val="18"/>
              </w:rPr>
            </w:pPr>
            <w:r>
              <w:rPr>
                <w:sz w:val="18"/>
                <w:szCs w:val="18"/>
              </w:rPr>
              <w:t>2</w:t>
            </w:r>
          </w:p>
        </w:tc>
        <w:tc>
          <w:tcPr>
            <w:tcW w:w="1276" w:type="dxa"/>
            <w:gridSpan w:val="2"/>
            <w:shd w:val="clear" w:color="auto" w:fill="92D050"/>
            <w:vAlign w:val="center"/>
          </w:tcPr>
          <w:p w14:paraId="61B134CF" w14:textId="7D59478C" w:rsidR="00FE2BD7" w:rsidRPr="00D15DD6" w:rsidRDefault="00FE2BD7" w:rsidP="00FE2BD7">
            <w:pPr>
              <w:ind w:left="-108" w:right="-108"/>
              <w:jc w:val="center"/>
              <w:rPr>
                <w:sz w:val="16"/>
                <w:szCs w:val="20"/>
              </w:rPr>
            </w:pPr>
            <w:r>
              <w:rPr>
                <w:sz w:val="16"/>
                <w:szCs w:val="20"/>
              </w:rPr>
              <w:t>2</w:t>
            </w:r>
          </w:p>
        </w:tc>
        <w:tc>
          <w:tcPr>
            <w:tcW w:w="1134" w:type="dxa"/>
            <w:gridSpan w:val="2"/>
            <w:vMerge w:val="restart"/>
            <w:shd w:val="clear" w:color="auto" w:fill="92D050"/>
          </w:tcPr>
          <w:p w14:paraId="6643D877" w14:textId="77777777" w:rsidR="00FE2BD7" w:rsidRPr="008B6A79" w:rsidRDefault="00FE2BD7" w:rsidP="00FE2BD7">
            <w:pPr>
              <w:rPr>
                <w:sz w:val="20"/>
                <w:szCs w:val="20"/>
              </w:rPr>
            </w:pPr>
          </w:p>
        </w:tc>
        <w:tc>
          <w:tcPr>
            <w:tcW w:w="2062" w:type="dxa"/>
            <w:gridSpan w:val="2"/>
            <w:vMerge w:val="restart"/>
            <w:tcBorders>
              <w:right w:val="single" w:sz="12" w:space="0" w:color="auto"/>
            </w:tcBorders>
            <w:shd w:val="clear" w:color="auto" w:fill="auto"/>
            <w:vAlign w:val="center"/>
          </w:tcPr>
          <w:p w14:paraId="53D44351" w14:textId="77777777" w:rsidR="00FE2BD7" w:rsidRPr="008B6A79" w:rsidRDefault="00FE2BD7" w:rsidP="00FE2BD7">
            <w:pPr>
              <w:jc w:val="center"/>
              <w:rPr>
                <w:sz w:val="20"/>
                <w:szCs w:val="20"/>
              </w:rPr>
            </w:pPr>
          </w:p>
        </w:tc>
      </w:tr>
      <w:tr w:rsidR="00FE2BD7" w:rsidRPr="008B6A79" w14:paraId="2678AA52" w14:textId="77777777" w:rsidTr="003A08F0">
        <w:trPr>
          <w:gridAfter w:val="1"/>
          <w:wAfter w:w="10" w:type="dxa"/>
          <w:trHeight w:val="345"/>
        </w:trPr>
        <w:tc>
          <w:tcPr>
            <w:tcW w:w="4380" w:type="dxa"/>
            <w:gridSpan w:val="3"/>
            <w:vMerge/>
            <w:tcBorders>
              <w:left w:val="single" w:sz="12" w:space="0" w:color="auto"/>
            </w:tcBorders>
            <w:shd w:val="clear" w:color="auto" w:fill="FFFFFF" w:themeFill="background1"/>
          </w:tcPr>
          <w:p w14:paraId="2B9F394C" w14:textId="77777777" w:rsidR="00FE2BD7" w:rsidRDefault="00FE2BD7" w:rsidP="00FE2BD7">
            <w:pPr>
              <w:ind w:left="731" w:hanging="731"/>
              <w:rPr>
                <w:sz w:val="20"/>
              </w:rPr>
            </w:pPr>
          </w:p>
        </w:tc>
        <w:tc>
          <w:tcPr>
            <w:tcW w:w="2693" w:type="dxa"/>
            <w:gridSpan w:val="2"/>
            <w:vMerge/>
            <w:shd w:val="clear" w:color="auto" w:fill="FFFFFF" w:themeFill="background1"/>
            <w:vAlign w:val="center"/>
          </w:tcPr>
          <w:p w14:paraId="1665D5C1" w14:textId="77777777" w:rsidR="00FE2BD7" w:rsidRDefault="00FE2BD7" w:rsidP="00FE2BD7">
            <w:pPr>
              <w:ind w:left="-114" w:right="-102"/>
              <w:jc w:val="center"/>
              <w:rPr>
                <w:sz w:val="20"/>
                <w:szCs w:val="20"/>
              </w:rPr>
            </w:pPr>
          </w:p>
        </w:tc>
        <w:tc>
          <w:tcPr>
            <w:tcW w:w="1417" w:type="dxa"/>
            <w:gridSpan w:val="2"/>
            <w:vMerge/>
            <w:shd w:val="clear" w:color="auto" w:fill="auto"/>
            <w:vAlign w:val="center"/>
          </w:tcPr>
          <w:p w14:paraId="5BC608FB" w14:textId="77777777" w:rsidR="00FE2BD7" w:rsidRDefault="00FE2BD7" w:rsidP="00FE2BD7">
            <w:pPr>
              <w:ind w:left="-108" w:right="-108"/>
              <w:jc w:val="center"/>
              <w:rPr>
                <w:sz w:val="18"/>
                <w:szCs w:val="18"/>
              </w:rPr>
            </w:pPr>
          </w:p>
        </w:tc>
        <w:tc>
          <w:tcPr>
            <w:tcW w:w="1276" w:type="dxa"/>
            <w:vMerge/>
            <w:shd w:val="clear" w:color="auto" w:fill="92D050"/>
            <w:vAlign w:val="center"/>
          </w:tcPr>
          <w:p w14:paraId="5753640B" w14:textId="77777777" w:rsidR="00FE2BD7" w:rsidRDefault="00FE2BD7" w:rsidP="00FE2BD7">
            <w:pPr>
              <w:ind w:left="-108" w:right="-108"/>
              <w:jc w:val="center"/>
              <w:rPr>
                <w:sz w:val="18"/>
                <w:szCs w:val="18"/>
              </w:rPr>
            </w:pPr>
          </w:p>
        </w:tc>
        <w:tc>
          <w:tcPr>
            <w:tcW w:w="1276" w:type="dxa"/>
            <w:gridSpan w:val="2"/>
            <w:shd w:val="clear" w:color="auto" w:fill="FFC000"/>
            <w:vAlign w:val="center"/>
          </w:tcPr>
          <w:p w14:paraId="3531D230" w14:textId="651AC3D0" w:rsidR="00FE2BD7" w:rsidRPr="00D15DD6" w:rsidRDefault="00FE2BD7" w:rsidP="00FE2BD7">
            <w:pPr>
              <w:ind w:left="-108" w:right="-108"/>
              <w:jc w:val="center"/>
              <w:rPr>
                <w:sz w:val="16"/>
                <w:szCs w:val="20"/>
              </w:rPr>
            </w:pPr>
            <w:r>
              <w:rPr>
                <w:sz w:val="16"/>
                <w:szCs w:val="20"/>
              </w:rPr>
              <w:t>2</w:t>
            </w:r>
          </w:p>
        </w:tc>
        <w:tc>
          <w:tcPr>
            <w:tcW w:w="1134" w:type="dxa"/>
            <w:gridSpan w:val="2"/>
            <w:vMerge/>
            <w:shd w:val="clear" w:color="auto" w:fill="92D050"/>
          </w:tcPr>
          <w:p w14:paraId="53594D42" w14:textId="77777777" w:rsidR="00FE2BD7" w:rsidRPr="008B6A79" w:rsidRDefault="00FE2BD7" w:rsidP="00FE2BD7">
            <w:pPr>
              <w:rPr>
                <w:sz w:val="20"/>
                <w:szCs w:val="20"/>
              </w:rPr>
            </w:pPr>
          </w:p>
        </w:tc>
        <w:tc>
          <w:tcPr>
            <w:tcW w:w="2062" w:type="dxa"/>
            <w:gridSpan w:val="2"/>
            <w:vMerge/>
            <w:tcBorders>
              <w:right w:val="single" w:sz="12" w:space="0" w:color="auto"/>
            </w:tcBorders>
            <w:shd w:val="clear" w:color="auto" w:fill="auto"/>
            <w:vAlign w:val="center"/>
          </w:tcPr>
          <w:p w14:paraId="23F5C44E" w14:textId="77777777" w:rsidR="00FE2BD7" w:rsidRPr="008B6A79" w:rsidRDefault="00FE2BD7" w:rsidP="00FE2BD7">
            <w:pPr>
              <w:jc w:val="center"/>
              <w:rPr>
                <w:sz w:val="20"/>
                <w:szCs w:val="20"/>
              </w:rPr>
            </w:pPr>
          </w:p>
        </w:tc>
      </w:tr>
      <w:tr w:rsidR="00FE2BD7" w:rsidRPr="008B6A79" w14:paraId="3268AF90" w14:textId="77777777" w:rsidTr="003A08F0">
        <w:trPr>
          <w:gridAfter w:val="1"/>
          <w:wAfter w:w="10" w:type="dxa"/>
        </w:trPr>
        <w:tc>
          <w:tcPr>
            <w:tcW w:w="4380" w:type="dxa"/>
            <w:gridSpan w:val="3"/>
            <w:tcBorders>
              <w:left w:val="single" w:sz="12" w:space="0" w:color="auto"/>
            </w:tcBorders>
            <w:shd w:val="clear" w:color="auto" w:fill="FFFFFF" w:themeFill="background1"/>
          </w:tcPr>
          <w:p w14:paraId="2E5F74CA" w14:textId="77777777" w:rsidR="00FE2BD7" w:rsidRPr="00145C48" w:rsidRDefault="00FE2BD7" w:rsidP="00FE2BD7">
            <w:pPr>
              <w:ind w:left="731" w:hanging="731"/>
              <w:rPr>
                <w:rFonts w:eastAsia="Times New Roman" w:cs="Arial"/>
                <w:sz w:val="20"/>
              </w:rPr>
            </w:pPr>
            <w:r>
              <w:rPr>
                <w:sz w:val="20"/>
              </w:rPr>
              <w:t>e</w:t>
            </w:r>
            <w:r>
              <w:rPr>
                <w:sz w:val="20"/>
              </w:rPr>
              <w:tab/>
              <w:t>Examiner la gouvernance du Service ontarien de la surdicécité</w:t>
            </w:r>
          </w:p>
          <w:p w14:paraId="1F102B66" w14:textId="77777777" w:rsidR="00FE2BD7" w:rsidRPr="00145C48" w:rsidRDefault="00FE2BD7" w:rsidP="00FE2BD7">
            <w:pPr>
              <w:rPr>
                <w:sz w:val="20"/>
                <w:szCs w:val="20"/>
              </w:rPr>
            </w:pPr>
          </w:p>
        </w:tc>
        <w:tc>
          <w:tcPr>
            <w:tcW w:w="2693" w:type="dxa"/>
            <w:gridSpan w:val="2"/>
            <w:shd w:val="clear" w:color="auto" w:fill="FFFFFF" w:themeFill="background1"/>
            <w:vAlign w:val="center"/>
          </w:tcPr>
          <w:p w14:paraId="4A5D9C81" w14:textId="77777777" w:rsidR="00FE2BD7" w:rsidRDefault="00FE2BD7" w:rsidP="00FE2BD7">
            <w:pPr>
              <w:ind w:left="-114" w:right="-102"/>
              <w:jc w:val="center"/>
              <w:rPr>
                <w:sz w:val="20"/>
                <w:szCs w:val="20"/>
              </w:rPr>
            </w:pPr>
            <w:r>
              <w:rPr>
                <w:sz w:val="20"/>
                <w:szCs w:val="20"/>
              </w:rPr>
              <w:t>Gouvernance/Sous-comité d’examen de la gouvernance</w:t>
            </w:r>
          </w:p>
          <w:p w14:paraId="0449E067" w14:textId="77777777" w:rsidR="00FE2BD7" w:rsidRPr="008B6A79" w:rsidRDefault="00FE2BD7" w:rsidP="00FE2BD7">
            <w:pPr>
              <w:ind w:left="-114" w:right="-102"/>
              <w:jc w:val="center"/>
              <w:rPr>
                <w:sz w:val="20"/>
                <w:szCs w:val="20"/>
              </w:rPr>
            </w:pPr>
          </w:p>
        </w:tc>
        <w:tc>
          <w:tcPr>
            <w:tcW w:w="1417" w:type="dxa"/>
            <w:gridSpan w:val="2"/>
            <w:shd w:val="clear" w:color="auto" w:fill="auto"/>
            <w:vAlign w:val="center"/>
          </w:tcPr>
          <w:p w14:paraId="2132733C" w14:textId="77777777" w:rsidR="00FE2BD7" w:rsidRPr="00145C48" w:rsidRDefault="00FE2BD7" w:rsidP="00FE2BD7">
            <w:pPr>
              <w:ind w:left="-108" w:right="-108"/>
              <w:jc w:val="center"/>
              <w:rPr>
                <w:sz w:val="18"/>
                <w:szCs w:val="18"/>
              </w:rPr>
            </w:pPr>
            <w:r>
              <w:rPr>
                <w:sz w:val="18"/>
                <w:szCs w:val="18"/>
              </w:rPr>
              <w:t>1</w:t>
            </w:r>
          </w:p>
        </w:tc>
        <w:tc>
          <w:tcPr>
            <w:tcW w:w="1276" w:type="dxa"/>
            <w:shd w:val="clear" w:color="auto" w:fill="92D050"/>
            <w:vAlign w:val="center"/>
          </w:tcPr>
          <w:p w14:paraId="277B97E5" w14:textId="77777777" w:rsidR="00FE2BD7" w:rsidRPr="00145C48" w:rsidRDefault="00FE2BD7" w:rsidP="00FE2BD7">
            <w:pPr>
              <w:ind w:left="-108" w:right="-108"/>
              <w:jc w:val="center"/>
              <w:rPr>
                <w:sz w:val="18"/>
                <w:szCs w:val="18"/>
              </w:rPr>
            </w:pPr>
            <w:r>
              <w:rPr>
                <w:sz w:val="18"/>
                <w:szCs w:val="18"/>
              </w:rPr>
              <w:t>1</w:t>
            </w:r>
          </w:p>
        </w:tc>
        <w:tc>
          <w:tcPr>
            <w:tcW w:w="1276" w:type="dxa"/>
            <w:gridSpan w:val="2"/>
            <w:shd w:val="clear" w:color="auto" w:fill="92D050"/>
            <w:vAlign w:val="center"/>
          </w:tcPr>
          <w:p w14:paraId="4B7EF087" w14:textId="2F82B90D" w:rsidR="00FE2BD7" w:rsidRPr="00D15DD6" w:rsidRDefault="00FE2BD7" w:rsidP="00FE2BD7">
            <w:pPr>
              <w:ind w:left="-108" w:right="-108"/>
              <w:jc w:val="center"/>
              <w:rPr>
                <w:sz w:val="16"/>
                <w:szCs w:val="20"/>
              </w:rPr>
            </w:pPr>
            <w:r>
              <w:rPr>
                <w:sz w:val="16"/>
                <w:szCs w:val="20"/>
              </w:rPr>
              <w:t>1</w:t>
            </w:r>
          </w:p>
        </w:tc>
        <w:tc>
          <w:tcPr>
            <w:tcW w:w="1134" w:type="dxa"/>
            <w:gridSpan w:val="2"/>
            <w:shd w:val="clear" w:color="auto" w:fill="92D050"/>
          </w:tcPr>
          <w:p w14:paraId="1F47382B" w14:textId="77777777" w:rsidR="00FE2BD7" w:rsidRDefault="00FE2BD7" w:rsidP="00FE2BD7">
            <w:pPr>
              <w:rPr>
                <w:sz w:val="20"/>
                <w:szCs w:val="20"/>
              </w:rPr>
            </w:pPr>
          </w:p>
          <w:p w14:paraId="5FDE37B1" w14:textId="1B2BA360" w:rsidR="00FE2BD7" w:rsidRPr="00FE2BD7" w:rsidRDefault="00FE2BD7" w:rsidP="00FE2BD7">
            <w:pPr>
              <w:jc w:val="center"/>
              <w:rPr>
                <w:sz w:val="16"/>
                <w:szCs w:val="16"/>
              </w:rPr>
            </w:pPr>
          </w:p>
        </w:tc>
        <w:tc>
          <w:tcPr>
            <w:tcW w:w="2062" w:type="dxa"/>
            <w:gridSpan w:val="2"/>
            <w:tcBorders>
              <w:right w:val="single" w:sz="12" w:space="0" w:color="auto"/>
            </w:tcBorders>
            <w:shd w:val="clear" w:color="auto" w:fill="auto"/>
            <w:vAlign w:val="center"/>
          </w:tcPr>
          <w:p w14:paraId="6B0B7A88" w14:textId="77777777" w:rsidR="00FE2BD7" w:rsidRPr="008B6A79" w:rsidRDefault="00FE2BD7" w:rsidP="00FE2BD7">
            <w:pPr>
              <w:jc w:val="center"/>
              <w:rPr>
                <w:sz w:val="20"/>
                <w:szCs w:val="20"/>
              </w:rPr>
            </w:pPr>
          </w:p>
        </w:tc>
      </w:tr>
      <w:tr w:rsidR="00FE2BD7" w:rsidRPr="008B6A79" w14:paraId="0ECAA7F0" w14:textId="77777777" w:rsidTr="003A08F0">
        <w:trPr>
          <w:gridAfter w:val="1"/>
          <w:wAfter w:w="10" w:type="dxa"/>
        </w:trPr>
        <w:tc>
          <w:tcPr>
            <w:tcW w:w="4380" w:type="dxa"/>
            <w:gridSpan w:val="3"/>
            <w:tcBorders>
              <w:left w:val="single" w:sz="12" w:space="0" w:color="auto"/>
            </w:tcBorders>
            <w:shd w:val="clear" w:color="auto" w:fill="FFFFFF" w:themeFill="background1"/>
          </w:tcPr>
          <w:p w14:paraId="75240066" w14:textId="77777777" w:rsidR="00FE2BD7" w:rsidRPr="00145C48" w:rsidRDefault="00FE2BD7" w:rsidP="00FE2BD7">
            <w:pPr>
              <w:ind w:left="720" w:hanging="720"/>
              <w:rPr>
                <w:rFonts w:eastAsia="Times New Roman" w:cs="Arial"/>
                <w:sz w:val="20"/>
              </w:rPr>
            </w:pPr>
            <w:r>
              <w:rPr>
                <w:sz w:val="20"/>
              </w:rPr>
              <w:t>f</w:t>
            </w:r>
            <w:r>
              <w:rPr>
                <w:sz w:val="20"/>
              </w:rPr>
              <w:tab/>
              <w:t>Être le fournisseur de services d’intervention de choix pour l’Ontario</w:t>
            </w:r>
          </w:p>
          <w:p w14:paraId="01304823" w14:textId="77777777" w:rsidR="00FE2BD7" w:rsidRPr="00145C48" w:rsidRDefault="00FE2BD7" w:rsidP="00FE2BD7">
            <w:pPr>
              <w:pStyle w:val="ListParagraph"/>
              <w:ind w:left="1632"/>
              <w:rPr>
                <w:sz w:val="20"/>
                <w:szCs w:val="20"/>
              </w:rPr>
            </w:pPr>
          </w:p>
        </w:tc>
        <w:tc>
          <w:tcPr>
            <w:tcW w:w="2693" w:type="dxa"/>
            <w:gridSpan w:val="2"/>
            <w:shd w:val="clear" w:color="auto" w:fill="FFFFFF" w:themeFill="background1"/>
            <w:vAlign w:val="center"/>
          </w:tcPr>
          <w:p w14:paraId="344C1C97" w14:textId="77777777" w:rsidR="00FE2BD7" w:rsidRDefault="00FE2BD7" w:rsidP="00FE2BD7">
            <w:pPr>
              <w:ind w:left="-114" w:right="-102"/>
              <w:jc w:val="center"/>
              <w:rPr>
                <w:sz w:val="20"/>
                <w:szCs w:val="20"/>
              </w:rPr>
            </w:pPr>
            <w:r>
              <w:rPr>
                <w:sz w:val="20"/>
                <w:szCs w:val="20"/>
              </w:rPr>
              <w:t>Services à la clientèle</w:t>
            </w:r>
          </w:p>
          <w:p w14:paraId="66F19755" w14:textId="77777777" w:rsidR="00FE2BD7" w:rsidRDefault="00FE2BD7" w:rsidP="00FE2BD7">
            <w:pPr>
              <w:ind w:left="-114" w:right="-102"/>
              <w:jc w:val="center"/>
              <w:rPr>
                <w:sz w:val="20"/>
                <w:szCs w:val="20"/>
              </w:rPr>
            </w:pPr>
            <w:r>
              <w:rPr>
                <w:sz w:val="20"/>
                <w:szCs w:val="20"/>
              </w:rPr>
              <w:t>Relations gouvernementales</w:t>
            </w:r>
          </w:p>
          <w:p w14:paraId="5D479259" w14:textId="77777777" w:rsidR="00FE2BD7" w:rsidRPr="008B6A79" w:rsidRDefault="00FE2BD7" w:rsidP="00FE2BD7">
            <w:pPr>
              <w:ind w:left="-114" w:right="-102"/>
              <w:jc w:val="center"/>
              <w:rPr>
                <w:sz w:val="20"/>
                <w:szCs w:val="20"/>
              </w:rPr>
            </w:pPr>
          </w:p>
        </w:tc>
        <w:tc>
          <w:tcPr>
            <w:tcW w:w="1417" w:type="dxa"/>
            <w:gridSpan w:val="2"/>
            <w:shd w:val="clear" w:color="auto" w:fill="auto"/>
            <w:vAlign w:val="center"/>
          </w:tcPr>
          <w:p w14:paraId="1DC6493C" w14:textId="77777777" w:rsidR="00FE2BD7" w:rsidRPr="00145C48" w:rsidRDefault="00FE2BD7" w:rsidP="00FE2BD7">
            <w:pPr>
              <w:ind w:left="-108" w:right="-108"/>
              <w:jc w:val="center"/>
              <w:rPr>
                <w:sz w:val="18"/>
                <w:szCs w:val="18"/>
              </w:rPr>
            </w:pPr>
            <w:r>
              <w:rPr>
                <w:sz w:val="18"/>
                <w:szCs w:val="18"/>
              </w:rPr>
              <w:t>6</w:t>
            </w:r>
          </w:p>
        </w:tc>
        <w:tc>
          <w:tcPr>
            <w:tcW w:w="1276" w:type="dxa"/>
            <w:shd w:val="clear" w:color="auto" w:fill="92D050"/>
            <w:vAlign w:val="center"/>
          </w:tcPr>
          <w:p w14:paraId="5AF441A9" w14:textId="77777777" w:rsidR="00FE2BD7" w:rsidRPr="00145C48" w:rsidRDefault="00FE2BD7" w:rsidP="00FE2BD7">
            <w:pPr>
              <w:ind w:left="-108" w:right="-108"/>
              <w:jc w:val="center"/>
              <w:rPr>
                <w:sz w:val="18"/>
                <w:szCs w:val="18"/>
              </w:rPr>
            </w:pPr>
            <w:r>
              <w:rPr>
                <w:sz w:val="18"/>
                <w:szCs w:val="18"/>
              </w:rPr>
              <w:t>2</w:t>
            </w:r>
          </w:p>
        </w:tc>
        <w:tc>
          <w:tcPr>
            <w:tcW w:w="1276" w:type="dxa"/>
            <w:gridSpan w:val="2"/>
            <w:shd w:val="clear" w:color="auto" w:fill="92D050"/>
            <w:vAlign w:val="center"/>
          </w:tcPr>
          <w:p w14:paraId="6787D971" w14:textId="44A92E5C" w:rsidR="00FE2BD7" w:rsidRPr="00D15DD6" w:rsidRDefault="003A08F0" w:rsidP="00FE2BD7">
            <w:pPr>
              <w:ind w:left="-108" w:right="-108"/>
              <w:jc w:val="center"/>
              <w:rPr>
                <w:sz w:val="16"/>
                <w:szCs w:val="20"/>
              </w:rPr>
            </w:pPr>
            <w:r>
              <w:rPr>
                <w:sz w:val="16"/>
                <w:szCs w:val="20"/>
              </w:rPr>
              <w:t>2</w:t>
            </w:r>
          </w:p>
        </w:tc>
        <w:tc>
          <w:tcPr>
            <w:tcW w:w="1134" w:type="dxa"/>
            <w:gridSpan w:val="2"/>
            <w:shd w:val="clear" w:color="auto" w:fill="FFC000"/>
          </w:tcPr>
          <w:p w14:paraId="27822D61" w14:textId="77777777" w:rsidR="003A08F0" w:rsidRDefault="003A08F0" w:rsidP="00FE2BD7">
            <w:pPr>
              <w:rPr>
                <w:sz w:val="16"/>
                <w:szCs w:val="20"/>
              </w:rPr>
            </w:pPr>
          </w:p>
          <w:p w14:paraId="370F295B" w14:textId="77777777" w:rsidR="003A08F0" w:rsidRDefault="003A08F0" w:rsidP="00FE2BD7">
            <w:pPr>
              <w:rPr>
                <w:sz w:val="16"/>
                <w:szCs w:val="20"/>
              </w:rPr>
            </w:pPr>
          </w:p>
          <w:p w14:paraId="50A9CD35" w14:textId="77777777" w:rsidR="003A08F0" w:rsidRDefault="003A08F0" w:rsidP="003A08F0">
            <w:pPr>
              <w:jc w:val="center"/>
              <w:rPr>
                <w:sz w:val="16"/>
                <w:szCs w:val="20"/>
              </w:rPr>
            </w:pPr>
          </w:p>
          <w:p w14:paraId="2F7EBAF5" w14:textId="77777777" w:rsidR="003A08F0" w:rsidRDefault="003A08F0" w:rsidP="003A08F0">
            <w:pPr>
              <w:jc w:val="center"/>
              <w:rPr>
                <w:sz w:val="16"/>
                <w:szCs w:val="20"/>
              </w:rPr>
            </w:pPr>
          </w:p>
          <w:p w14:paraId="61ADB737" w14:textId="6700DFD4" w:rsidR="00FE2BD7" w:rsidRPr="008B6A79" w:rsidRDefault="003A08F0" w:rsidP="003A08F0">
            <w:pPr>
              <w:jc w:val="center"/>
              <w:rPr>
                <w:sz w:val="20"/>
                <w:szCs w:val="20"/>
              </w:rPr>
            </w:pPr>
            <w:r>
              <w:rPr>
                <w:sz w:val="16"/>
                <w:szCs w:val="20"/>
              </w:rPr>
              <w:t>2</w:t>
            </w:r>
          </w:p>
        </w:tc>
        <w:tc>
          <w:tcPr>
            <w:tcW w:w="2062" w:type="dxa"/>
            <w:gridSpan w:val="2"/>
            <w:tcBorders>
              <w:right w:val="single" w:sz="12" w:space="0" w:color="auto"/>
            </w:tcBorders>
            <w:shd w:val="clear" w:color="auto" w:fill="auto"/>
            <w:vAlign w:val="center"/>
          </w:tcPr>
          <w:p w14:paraId="605A99C9" w14:textId="64CDF474" w:rsidR="00FE2BD7" w:rsidRPr="008B6A79" w:rsidRDefault="003A08F0" w:rsidP="00FE2BD7">
            <w:pPr>
              <w:jc w:val="center"/>
              <w:rPr>
                <w:sz w:val="20"/>
                <w:szCs w:val="20"/>
              </w:rPr>
            </w:pPr>
            <w:r>
              <w:rPr>
                <w:sz w:val="18"/>
                <w:szCs w:val="18"/>
              </w:rPr>
              <w:t>La flexibilité de la portée du modèle de service sera reportée au plan 2023-2026 (approuvé par le conseil d’administration le 9 mars 2021).</w:t>
            </w:r>
          </w:p>
        </w:tc>
      </w:tr>
      <w:tr w:rsidR="00FE2BD7" w:rsidRPr="008B6A79" w14:paraId="6BCFDD20" w14:textId="77777777" w:rsidTr="003A08F0">
        <w:trPr>
          <w:gridAfter w:val="1"/>
          <w:wAfter w:w="10" w:type="dxa"/>
        </w:trPr>
        <w:tc>
          <w:tcPr>
            <w:tcW w:w="4380" w:type="dxa"/>
            <w:gridSpan w:val="3"/>
            <w:tcBorders>
              <w:left w:val="single" w:sz="12" w:space="0" w:color="auto"/>
            </w:tcBorders>
            <w:shd w:val="clear" w:color="auto" w:fill="FFFFFF" w:themeFill="background1"/>
          </w:tcPr>
          <w:p w14:paraId="0F995597" w14:textId="77777777" w:rsidR="00FE2BD7" w:rsidRPr="00145C48" w:rsidRDefault="00FE2BD7" w:rsidP="00FE2BD7">
            <w:pPr>
              <w:ind w:left="720" w:hanging="720"/>
              <w:rPr>
                <w:rFonts w:eastAsia="Times New Roman" w:cs="Arial"/>
                <w:sz w:val="20"/>
              </w:rPr>
            </w:pPr>
            <w:r>
              <w:rPr>
                <w:sz w:val="20"/>
              </w:rPr>
              <w:t>g</w:t>
            </w:r>
            <w:r>
              <w:rPr>
                <w:sz w:val="20"/>
              </w:rPr>
              <w:tab/>
              <w:t xml:space="preserve">Explorer l’élaboration d’une stratégie pour le Nord de l’Ontario afin </w:t>
            </w:r>
            <w:r>
              <w:rPr>
                <w:sz w:val="20"/>
              </w:rPr>
              <w:lastRenderedPageBreak/>
              <w:t>d’appuyer et de servir les Ontariens et les Ontariennes qui vivent avec la surdicécité</w:t>
            </w:r>
          </w:p>
          <w:p w14:paraId="08754C90" w14:textId="77777777" w:rsidR="00FE2BD7" w:rsidRPr="00145C48" w:rsidRDefault="00FE2BD7" w:rsidP="00FE2BD7">
            <w:pPr>
              <w:pStyle w:val="ListParagraph"/>
              <w:ind w:left="1632"/>
              <w:rPr>
                <w:sz w:val="20"/>
                <w:szCs w:val="20"/>
              </w:rPr>
            </w:pPr>
          </w:p>
        </w:tc>
        <w:tc>
          <w:tcPr>
            <w:tcW w:w="2693" w:type="dxa"/>
            <w:gridSpan w:val="2"/>
            <w:shd w:val="clear" w:color="auto" w:fill="FFFFFF" w:themeFill="background1"/>
            <w:vAlign w:val="center"/>
          </w:tcPr>
          <w:p w14:paraId="1706E776" w14:textId="77777777" w:rsidR="00FE2BD7" w:rsidRPr="008B6A79" w:rsidRDefault="00FE2BD7" w:rsidP="00FE2BD7">
            <w:pPr>
              <w:ind w:left="-114" w:right="-102"/>
              <w:jc w:val="center"/>
              <w:rPr>
                <w:sz w:val="20"/>
                <w:szCs w:val="20"/>
              </w:rPr>
            </w:pPr>
            <w:r>
              <w:rPr>
                <w:sz w:val="20"/>
                <w:szCs w:val="20"/>
              </w:rPr>
              <w:lastRenderedPageBreak/>
              <w:t>Services à la clientèle</w:t>
            </w:r>
          </w:p>
        </w:tc>
        <w:tc>
          <w:tcPr>
            <w:tcW w:w="1417" w:type="dxa"/>
            <w:gridSpan w:val="2"/>
            <w:shd w:val="clear" w:color="auto" w:fill="auto"/>
            <w:vAlign w:val="center"/>
          </w:tcPr>
          <w:p w14:paraId="7EEA67B7" w14:textId="77777777" w:rsidR="00FE2BD7" w:rsidRPr="00145C48" w:rsidRDefault="00FE2BD7" w:rsidP="00FE2BD7">
            <w:pPr>
              <w:ind w:left="-108" w:right="-108"/>
              <w:jc w:val="center"/>
              <w:rPr>
                <w:sz w:val="18"/>
                <w:szCs w:val="18"/>
              </w:rPr>
            </w:pPr>
            <w:r>
              <w:rPr>
                <w:sz w:val="18"/>
                <w:szCs w:val="18"/>
              </w:rPr>
              <w:t>1</w:t>
            </w:r>
          </w:p>
        </w:tc>
        <w:tc>
          <w:tcPr>
            <w:tcW w:w="1276" w:type="dxa"/>
            <w:shd w:val="clear" w:color="auto" w:fill="FFC000"/>
            <w:vAlign w:val="center"/>
          </w:tcPr>
          <w:p w14:paraId="0199CD1F" w14:textId="77777777" w:rsidR="00FE2BD7" w:rsidRPr="00145C48" w:rsidRDefault="00FE2BD7" w:rsidP="00FE2BD7">
            <w:pPr>
              <w:ind w:left="-108" w:right="-108"/>
              <w:jc w:val="center"/>
              <w:rPr>
                <w:sz w:val="18"/>
                <w:szCs w:val="18"/>
              </w:rPr>
            </w:pPr>
            <w:r>
              <w:rPr>
                <w:sz w:val="18"/>
                <w:szCs w:val="18"/>
              </w:rPr>
              <w:t>1</w:t>
            </w:r>
          </w:p>
        </w:tc>
        <w:tc>
          <w:tcPr>
            <w:tcW w:w="1276" w:type="dxa"/>
            <w:gridSpan w:val="2"/>
            <w:shd w:val="clear" w:color="auto" w:fill="FFC000"/>
            <w:vAlign w:val="center"/>
          </w:tcPr>
          <w:p w14:paraId="045ED8A3" w14:textId="14C8C20C" w:rsidR="00FE2BD7" w:rsidRPr="00D15DD6" w:rsidRDefault="00FE2BD7" w:rsidP="00FE2BD7">
            <w:pPr>
              <w:ind w:left="-108" w:right="-108"/>
              <w:jc w:val="center"/>
              <w:rPr>
                <w:sz w:val="16"/>
                <w:szCs w:val="20"/>
              </w:rPr>
            </w:pPr>
            <w:r>
              <w:rPr>
                <w:sz w:val="16"/>
                <w:szCs w:val="20"/>
              </w:rPr>
              <w:t>1</w:t>
            </w:r>
          </w:p>
        </w:tc>
        <w:tc>
          <w:tcPr>
            <w:tcW w:w="1134" w:type="dxa"/>
            <w:gridSpan w:val="2"/>
            <w:shd w:val="clear" w:color="auto" w:fill="FFC000"/>
          </w:tcPr>
          <w:p w14:paraId="1744CB17" w14:textId="77777777" w:rsidR="003A08F0" w:rsidRDefault="003A08F0" w:rsidP="003A08F0">
            <w:pPr>
              <w:jc w:val="center"/>
              <w:rPr>
                <w:sz w:val="16"/>
                <w:szCs w:val="20"/>
              </w:rPr>
            </w:pPr>
          </w:p>
          <w:p w14:paraId="45A9856F" w14:textId="54854214" w:rsidR="00FE2BD7" w:rsidRPr="008B6A79" w:rsidRDefault="00FE2BD7" w:rsidP="003A08F0">
            <w:pPr>
              <w:jc w:val="center"/>
              <w:rPr>
                <w:sz w:val="20"/>
                <w:szCs w:val="20"/>
              </w:rPr>
            </w:pPr>
            <w:r>
              <w:rPr>
                <w:sz w:val="16"/>
                <w:szCs w:val="20"/>
              </w:rPr>
              <w:t>1</w:t>
            </w:r>
          </w:p>
        </w:tc>
        <w:tc>
          <w:tcPr>
            <w:tcW w:w="2062" w:type="dxa"/>
            <w:gridSpan w:val="2"/>
            <w:tcBorders>
              <w:right w:val="single" w:sz="12" w:space="0" w:color="auto"/>
            </w:tcBorders>
            <w:shd w:val="clear" w:color="auto" w:fill="auto"/>
          </w:tcPr>
          <w:p w14:paraId="1370DCB6" w14:textId="42246BE9" w:rsidR="00FE2BD7" w:rsidRPr="008B6A79" w:rsidRDefault="003A08F0" w:rsidP="00FE2BD7">
            <w:pPr>
              <w:jc w:val="center"/>
              <w:rPr>
                <w:sz w:val="20"/>
                <w:szCs w:val="20"/>
              </w:rPr>
            </w:pPr>
            <w:r>
              <w:rPr>
                <w:sz w:val="18"/>
                <w:szCs w:val="18"/>
              </w:rPr>
              <w:t>L’initiative sera reportée au plan 2023-</w:t>
            </w:r>
            <w:r>
              <w:rPr>
                <w:sz w:val="18"/>
                <w:szCs w:val="18"/>
              </w:rPr>
              <w:lastRenderedPageBreak/>
              <w:t>2026 (approuvé par le conseil d’administration le 9 mars 2021).</w:t>
            </w:r>
          </w:p>
        </w:tc>
      </w:tr>
      <w:tr w:rsidR="00FE2BD7" w:rsidRPr="008B6A79" w14:paraId="196DBA05" w14:textId="77777777" w:rsidTr="003A08F0">
        <w:trPr>
          <w:gridAfter w:val="1"/>
          <w:wAfter w:w="10" w:type="dxa"/>
        </w:trPr>
        <w:tc>
          <w:tcPr>
            <w:tcW w:w="4380" w:type="dxa"/>
            <w:gridSpan w:val="3"/>
            <w:tcBorders>
              <w:left w:val="single" w:sz="12" w:space="0" w:color="auto"/>
            </w:tcBorders>
            <w:shd w:val="clear" w:color="auto" w:fill="FFFFFF" w:themeFill="background1"/>
          </w:tcPr>
          <w:p w14:paraId="2062F882" w14:textId="77777777" w:rsidR="00FE2BD7" w:rsidRPr="00145C48" w:rsidRDefault="00FE2BD7" w:rsidP="00FE2BD7">
            <w:pPr>
              <w:ind w:left="720" w:hanging="720"/>
              <w:rPr>
                <w:rFonts w:eastAsia="Times New Roman" w:cs="Arial"/>
                <w:sz w:val="20"/>
              </w:rPr>
            </w:pPr>
            <w:r>
              <w:rPr>
                <w:sz w:val="20"/>
              </w:rPr>
              <w:lastRenderedPageBreak/>
              <w:t>h</w:t>
            </w:r>
            <w:r>
              <w:rPr>
                <w:sz w:val="20"/>
              </w:rPr>
              <w:tab/>
              <w:t>Continuer à jouer un rôle de chef de file dans l’élaboration et la mise en œuvre d’une certification pour les agences et les organismes qui soutiennent les personnes atteintes de surdicécité</w:t>
            </w:r>
          </w:p>
        </w:tc>
        <w:tc>
          <w:tcPr>
            <w:tcW w:w="2693" w:type="dxa"/>
            <w:gridSpan w:val="2"/>
            <w:shd w:val="clear" w:color="auto" w:fill="FFFFFF" w:themeFill="background1"/>
            <w:vAlign w:val="center"/>
          </w:tcPr>
          <w:p w14:paraId="0FE44BA7" w14:textId="77777777" w:rsidR="00FE2BD7" w:rsidRPr="008B6A79" w:rsidRDefault="00FE2BD7" w:rsidP="00FE2BD7">
            <w:pPr>
              <w:ind w:left="-114" w:right="-102"/>
              <w:jc w:val="center"/>
              <w:rPr>
                <w:sz w:val="20"/>
                <w:szCs w:val="20"/>
              </w:rPr>
            </w:pPr>
          </w:p>
        </w:tc>
        <w:tc>
          <w:tcPr>
            <w:tcW w:w="1417" w:type="dxa"/>
            <w:gridSpan w:val="2"/>
            <w:shd w:val="clear" w:color="auto" w:fill="auto"/>
            <w:vAlign w:val="center"/>
          </w:tcPr>
          <w:p w14:paraId="4436F087" w14:textId="77777777" w:rsidR="00FE2BD7" w:rsidRPr="00145C48" w:rsidRDefault="00FE2BD7" w:rsidP="00FE2BD7">
            <w:pPr>
              <w:ind w:left="-108" w:right="-108"/>
              <w:jc w:val="center"/>
              <w:rPr>
                <w:sz w:val="18"/>
                <w:szCs w:val="18"/>
              </w:rPr>
            </w:pPr>
            <w:r>
              <w:rPr>
                <w:sz w:val="18"/>
                <w:szCs w:val="18"/>
              </w:rPr>
              <w:t>2</w:t>
            </w:r>
          </w:p>
        </w:tc>
        <w:tc>
          <w:tcPr>
            <w:tcW w:w="1276" w:type="dxa"/>
            <w:shd w:val="clear" w:color="auto" w:fill="000000" w:themeFill="text1"/>
            <w:vAlign w:val="center"/>
          </w:tcPr>
          <w:p w14:paraId="0AB640FD" w14:textId="77777777" w:rsidR="00FE2BD7" w:rsidRPr="00145C48" w:rsidRDefault="00FE2BD7" w:rsidP="00FE2BD7">
            <w:pPr>
              <w:ind w:left="-108" w:right="-108"/>
              <w:jc w:val="center"/>
              <w:rPr>
                <w:sz w:val="18"/>
                <w:szCs w:val="18"/>
              </w:rPr>
            </w:pPr>
          </w:p>
        </w:tc>
        <w:tc>
          <w:tcPr>
            <w:tcW w:w="1276" w:type="dxa"/>
            <w:gridSpan w:val="2"/>
            <w:shd w:val="clear" w:color="auto" w:fill="000000" w:themeFill="text1"/>
            <w:vAlign w:val="center"/>
          </w:tcPr>
          <w:p w14:paraId="0CE7EA80" w14:textId="77777777" w:rsidR="00FE2BD7" w:rsidRPr="00D15DD6" w:rsidRDefault="00FE2BD7" w:rsidP="00FE2BD7">
            <w:pPr>
              <w:ind w:left="-108" w:right="-108"/>
              <w:jc w:val="center"/>
              <w:rPr>
                <w:sz w:val="16"/>
                <w:szCs w:val="20"/>
              </w:rPr>
            </w:pPr>
          </w:p>
        </w:tc>
        <w:tc>
          <w:tcPr>
            <w:tcW w:w="1134" w:type="dxa"/>
            <w:gridSpan w:val="2"/>
            <w:shd w:val="clear" w:color="auto" w:fill="000000" w:themeFill="text1"/>
          </w:tcPr>
          <w:p w14:paraId="381BFA01" w14:textId="77777777" w:rsidR="00FE2BD7" w:rsidRPr="008B6A79" w:rsidRDefault="00FE2BD7" w:rsidP="00FE2BD7">
            <w:pPr>
              <w:rPr>
                <w:sz w:val="20"/>
                <w:szCs w:val="20"/>
              </w:rPr>
            </w:pPr>
          </w:p>
        </w:tc>
        <w:tc>
          <w:tcPr>
            <w:tcW w:w="2062" w:type="dxa"/>
            <w:gridSpan w:val="2"/>
            <w:tcBorders>
              <w:right w:val="single" w:sz="12" w:space="0" w:color="auto"/>
            </w:tcBorders>
            <w:shd w:val="clear" w:color="auto" w:fill="auto"/>
          </w:tcPr>
          <w:p w14:paraId="2452D979" w14:textId="00AD8CDA" w:rsidR="00FE2BD7" w:rsidRPr="008B6A79" w:rsidRDefault="003A08F0" w:rsidP="00FE2BD7">
            <w:pPr>
              <w:jc w:val="center"/>
              <w:rPr>
                <w:sz w:val="20"/>
                <w:szCs w:val="20"/>
              </w:rPr>
            </w:pPr>
            <w:r>
              <w:rPr>
                <w:sz w:val="18"/>
                <w:szCs w:val="18"/>
              </w:rPr>
              <w:t>Objectif supprimé du plan stratégique actuel, ainsi que des prochains plans. Le SODS poursuivra son engagement envers ses mesures internes d’assurance qualité et se tiendra informé de la certification (approuvé par le conseil d’administration le 9 mars 2021).</w:t>
            </w:r>
          </w:p>
        </w:tc>
      </w:tr>
      <w:tr w:rsidR="00FE2BD7" w:rsidRPr="008B6A79" w14:paraId="357797C3" w14:textId="77777777" w:rsidTr="003A08F0">
        <w:trPr>
          <w:gridAfter w:val="1"/>
          <w:wAfter w:w="10" w:type="dxa"/>
        </w:trPr>
        <w:tc>
          <w:tcPr>
            <w:tcW w:w="4380" w:type="dxa"/>
            <w:gridSpan w:val="3"/>
            <w:tcBorders>
              <w:left w:val="single" w:sz="12" w:space="0" w:color="auto"/>
            </w:tcBorders>
            <w:shd w:val="clear" w:color="auto" w:fill="FFFFFF" w:themeFill="background1"/>
          </w:tcPr>
          <w:p w14:paraId="21861B19" w14:textId="77777777" w:rsidR="00FE2BD7" w:rsidRPr="00145C48" w:rsidRDefault="00FE2BD7" w:rsidP="00FE2BD7">
            <w:pPr>
              <w:ind w:left="720" w:hanging="720"/>
              <w:rPr>
                <w:rFonts w:eastAsia="Times New Roman" w:cs="Arial"/>
                <w:sz w:val="20"/>
              </w:rPr>
            </w:pPr>
            <w:r>
              <w:rPr>
                <w:sz w:val="20"/>
              </w:rPr>
              <w:t>i</w:t>
            </w:r>
            <w:r>
              <w:rPr>
                <w:sz w:val="20"/>
              </w:rPr>
              <w:tab/>
              <w:t>Poursuivre l’élaboration et la mise en œuvre d’une stratégie de relations gouvernementales</w:t>
            </w:r>
          </w:p>
          <w:p w14:paraId="30CA5A49" w14:textId="77777777" w:rsidR="00FE2BD7" w:rsidRPr="00DC53E8" w:rsidRDefault="00FE2BD7" w:rsidP="00FE2BD7">
            <w:pPr>
              <w:ind w:left="720" w:hanging="720"/>
              <w:rPr>
                <w:rFonts w:eastAsia="Times New Roman" w:cs="Arial"/>
                <w:sz w:val="20"/>
              </w:rPr>
            </w:pPr>
          </w:p>
        </w:tc>
        <w:tc>
          <w:tcPr>
            <w:tcW w:w="2693" w:type="dxa"/>
            <w:gridSpan w:val="2"/>
            <w:shd w:val="clear" w:color="auto" w:fill="FFFFFF" w:themeFill="background1"/>
            <w:vAlign w:val="center"/>
          </w:tcPr>
          <w:p w14:paraId="5DF671F1" w14:textId="77777777" w:rsidR="00FE2BD7" w:rsidRPr="008B6A79" w:rsidRDefault="00FE2BD7" w:rsidP="00FE2BD7">
            <w:pPr>
              <w:ind w:left="-114" w:right="-102"/>
              <w:jc w:val="center"/>
              <w:rPr>
                <w:sz w:val="20"/>
                <w:szCs w:val="20"/>
              </w:rPr>
            </w:pPr>
            <w:r>
              <w:rPr>
                <w:sz w:val="20"/>
                <w:szCs w:val="20"/>
              </w:rPr>
              <w:t>Relations gouvernementales</w:t>
            </w:r>
          </w:p>
        </w:tc>
        <w:tc>
          <w:tcPr>
            <w:tcW w:w="1417" w:type="dxa"/>
            <w:gridSpan w:val="2"/>
            <w:shd w:val="clear" w:color="auto" w:fill="auto"/>
            <w:vAlign w:val="center"/>
          </w:tcPr>
          <w:p w14:paraId="527E1912" w14:textId="77777777" w:rsidR="00FE2BD7" w:rsidRPr="00145C48" w:rsidRDefault="00FE2BD7" w:rsidP="00FE2BD7">
            <w:pPr>
              <w:ind w:left="-108" w:right="-108"/>
              <w:jc w:val="center"/>
              <w:rPr>
                <w:sz w:val="18"/>
                <w:szCs w:val="18"/>
              </w:rPr>
            </w:pPr>
            <w:r>
              <w:rPr>
                <w:sz w:val="18"/>
                <w:szCs w:val="18"/>
              </w:rPr>
              <w:t>1</w:t>
            </w:r>
          </w:p>
        </w:tc>
        <w:tc>
          <w:tcPr>
            <w:tcW w:w="1276" w:type="dxa"/>
            <w:shd w:val="clear" w:color="auto" w:fill="92D050"/>
            <w:vAlign w:val="center"/>
          </w:tcPr>
          <w:p w14:paraId="4A949E4E" w14:textId="77777777" w:rsidR="00FE2BD7" w:rsidRPr="00145C48" w:rsidRDefault="00FE2BD7" w:rsidP="00FE2BD7">
            <w:pPr>
              <w:ind w:left="-108" w:right="-108"/>
              <w:jc w:val="center"/>
              <w:rPr>
                <w:sz w:val="18"/>
                <w:szCs w:val="18"/>
              </w:rPr>
            </w:pPr>
            <w:r>
              <w:rPr>
                <w:sz w:val="18"/>
                <w:szCs w:val="18"/>
              </w:rPr>
              <w:t>1</w:t>
            </w:r>
          </w:p>
        </w:tc>
        <w:tc>
          <w:tcPr>
            <w:tcW w:w="1276" w:type="dxa"/>
            <w:gridSpan w:val="2"/>
            <w:shd w:val="clear" w:color="auto" w:fill="92D050"/>
            <w:vAlign w:val="center"/>
          </w:tcPr>
          <w:p w14:paraId="4289FD36" w14:textId="6FAC930B" w:rsidR="00FE2BD7" w:rsidRPr="00D15DD6" w:rsidRDefault="00FE2BD7" w:rsidP="00FE2BD7">
            <w:pPr>
              <w:ind w:left="-108" w:right="-108"/>
              <w:jc w:val="center"/>
              <w:rPr>
                <w:sz w:val="16"/>
                <w:szCs w:val="20"/>
              </w:rPr>
            </w:pPr>
            <w:r>
              <w:rPr>
                <w:sz w:val="16"/>
                <w:szCs w:val="20"/>
              </w:rPr>
              <w:t>1</w:t>
            </w:r>
          </w:p>
        </w:tc>
        <w:tc>
          <w:tcPr>
            <w:tcW w:w="1134" w:type="dxa"/>
            <w:gridSpan w:val="2"/>
            <w:shd w:val="clear" w:color="auto" w:fill="92D050"/>
          </w:tcPr>
          <w:p w14:paraId="42C3E984" w14:textId="77777777" w:rsidR="00FE2BD7" w:rsidRPr="008B6A79" w:rsidRDefault="00FE2BD7" w:rsidP="00FE2BD7">
            <w:pPr>
              <w:rPr>
                <w:sz w:val="20"/>
                <w:szCs w:val="20"/>
              </w:rPr>
            </w:pPr>
          </w:p>
        </w:tc>
        <w:tc>
          <w:tcPr>
            <w:tcW w:w="2062" w:type="dxa"/>
            <w:gridSpan w:val="2"/>
            <w:tcBorders>
              <w:right w:val="single" w:sz="12" w:space="0" w:color="auto"/>
            </w:tcBorders>
            <w:shd w:val="clear" w:color="auto" w:fill="auto"/>
          </w:tcPr>
          <w:p w14:paraId="70E2522E" w14:textId="77777777" w:rsidR="00FE2BD7" w:rsidRPr="008B6A79" w:rsidRDefault="00FE2BD7" w:rsidP="00FE2BD7">
            <w:pPr>
              <w:jc w:val="center"/>
              <w:rPr>
                <w:sz w:val="20"/>
                <w:szCs w:val="20"/>
              </w:rPr>
            </w:pPr>
          </w:p>
        </w:tc>
      </w:tr>
      <w:tr w:rsidR="00FE2BD7" w:rsidRPr="008B6A79" w14:paraId="0F668994" w14:textId="77777777" w:rsidTr="003A08F0">
        <w:trPr>
          <w:gridAfter w:val="1"/>
          <w:wAfter w:w="10" w:type="dxa"/>
          <w:trHeight w:val="766"/>
        </w:trPr>
        <w:tc>
          <w:tcPr>
            <w:tcW w:w="4380" w:type="dxa"/>
            <w:gridSpan w:val="3"/>
            <w:tcBorders>
              <w:left w:val="single" w:sz="12" w:space="0" w:color="auto"/>
            </w:tcBorders>
            <w:shd w:val="clear" w:color="auto" w:fill="FFFFFF" w:themeFill="background1"/>
          </w:tcPr>
          <w:p w14:paraId="4805E0CB" w14:textId="77777777" w:rsidR="00FE2BD7" w:rsidRPr="00145C48" w:rsidRDefault="00FE2BD7" w:rsidP="00FE2BD7">
            <w:pPr>
              <w:ind w:left="720" w:hanging="720"/>
              <w:rPr>
                <w:rFonts w:eastAsia="Times New Roman" w:cs="Arial"/>
                <w:sz w:val="20"/>
              </w:rPr>
            </w:pPr>
            <w:r>
              <w:rPr>
                <w:sz w:val="20"/>
              </w:rPr>
              <w:t>j</w:t>
            </w:r>
            <w:r>
              <w:rPr>
                <w:sz w:val="20"/>
              </w:rPr>
              <w:tab/>
              <w:t>Poursuivre l’élaboration et la mise en œuvre d’une stratégie de communication et d’engagement</w:t>
            </w:r>
          </w:p>
          <w:p w14:paraId="248D9421" w14:textId="77777777" w:rsidR="00FE2BD7" w:rsidRPr="00DC53E8" w:rsidRDefault="00FE2BD7" w:rsidP="00FE2BD7">
            <w:pPr>
              <w:ind w:left="720" w:hanging="720"/>
              <w:rPr>
                <w:rFonts w:eastAsia="Times New Roman" w:cs="Arial"/>
                <w:sz w:val="20"/>
              </w:rPr>
            </w:pPr>
          </w:p>
        </w:tc>
        <w:tc>
          <w:tcPr>
            <w:tcW w:w="2693" w:type="dxa"/>
            <w:gridSpan w:val="2"/>
            <w:shd w:val="clear" w:color="auto" w:fill="FFFFFF" w:themeFill="background1"/>
            <w:vAlign w:val="center"/>
          </w:tcPr>
          <w:p w14:paraId="66787B4C" w14:textId="77777777" w:rsidR="00FE2BD7" w:rsidRPr="008B6A79" w:rsidRDefault="00FE2BD7" w:rsidP="00FE2BD7">
            <w:pPr>
              <w:ind w:left="-114" w:right="-102"/>
              <w:jc w:val="center"/>
              <w:rPr>
                <w:sz w:val="20"/>
                <w:szCs w:val="20"/>
              </w:rPr>
            </w:pPr>
            <w:r>
              <w:rPr>
                <w:sz w:val="20"/>
                <w:szCs w:val="20"/>
              </w:rPr>
              <w:t>Relations gouvernementales</w:t>
            </w:r>
          </w:p>
        </w:tc>
        <w:tc>
          <w:tcPr>
            <w:tcW w:w="1417" w:type="dxa"/>
            <w:gridSpan w:val="2"/>
            <w:shd w:val="clear" w:color="auto" w:fill="auto"/>
            <w:vAlign w:val="center"/>
          </w:tcPr>
          <w:p w14:paraId="371EED20" w14:textId="77777777" w:rsidR="00FE2BD7" w:rsidRPr="00145C48" w:rsidRDefault="00FE2BD7" w:rsidP="00FE2BD7">
            <w:pPr>
              <w:ind w:left="-108" w:right="-108"/>
              <w:jc w:val="center"/>
              <w:rPr>
                <w:sz w:val="18"/>
                <w:szCs w:val="18"/>
              </w:rPr>
            </w:pPr>
            <w:r>
              <w:rPr>
                <w:sz w:val="18"/>
                <w:szCs w:val="18"/>
              </w:rPr>
              <w:t>4</w:t>
            </w:r>
          </w:p>
        </w:tc>
        <w:tc>
          <w:tcPr>
            <w:tcW w:w="1276" w:type="dxa"/>
            <w:shd w:val="clear" w:color="auto" w:fill="92D050"/>
            <w:vAlign w:val="center"/>
          </w:tcPr>
          <w:p w14:paraId="387BA849" w14:textId="15BA2C05" w:rsidR="00FE2BD7" w:rsidRPr="00145C48" w:rsidRDefault="00FE2BD7" w:rsidP="00FE2BD7">
            <w:pPr>
              <w:ind w:left="-108" w:right="-108"/>
              <w:jc w:val="center"/>
              <w:rPr>
                <w:sz w:val="18"/>
                <w:szCs w:val="18"/>
              </w:rPr>
            </w:pPr>
            <w:r>
              <w:rPr>
                <w:sz w:val="18"/>
                <w:szCs w:val="18"/>
              </w:rPr>
              <w:t>4</w:t>
            </w:r>
          </w:p>
        </w:tc>
        <w:tc>
          <w:tcPr>
            <w:tcW w:w="1276" w:type="dxa"/>
            <w:gridSpan w:val="2"/>
            <w:shd w:val="clear" w:color="auto" w:fill="92D050"/>
            <w:vAlign w:val="center"/>
          </w:tcPr>
          <w:p w14:paraId="7AF3D32E" w14:textId="77777777" w:rsidR="00FE2BD7" w:rsidRPr="00D15DD6" w:rsidRDefault="00FE2BD7" w:rsidP="00FE2BD7">
            <w:pPr>
              <w:ind w:left="-108" w:right="-108"/>
              <w:jc w:val="center"/>
              <w:rPr>
                <w:sz w:val="16"/>
                <w:szCs w:val="20"/>
              </w:rPr>
            </w:pPr>
          </w:p>
        </w:tc>
        <w:tc>
          <w:tcPr>
            <w:tcW w:w="1134" w:type="dxa"/>
            <w:gridSpan w:val="2"/>
            <w:shd w:val="clear" w:color="auto" w:fill="92D050"/>
          </w:tcPr>
          <w:p w14:paraId="76F983AB" w14:textId="77777777" w:rsidR="00FE2BD7" w:rsidRPr="008B6A79" w:rsidRDefault="00FE2BD7" w:rsidP="00FE2BD7">
            <w:pPr>
              <w:rPr>
                <w:sz w:val="20"/>
                <w:szCs w:val="20"/>
              </w:rPr>
            </w:pPr>
          </w:p>
        </w:tc>
        <w:tc>
          <w:tcPr>
            <w:tcW w:w="2062" w:type="dxa"/>
            <w:gridSpan w:val="2"/>
            <w:tcBorders>
              <w:right w:val="single" w:sz="12" w:space="0" w:color="auto"/>
            </w:tcBorders>
            <w:shd w:val="clear" w:color="auto" w:fill="auto"/>
          </w:tcPr>
          <w:p w14:paraId="5D3D2FFB" w14:textId="77777777" w:rsidR="00FE2BD7" w:rsidRPr="008B6A79" w:rsidRDefault="00FE2BD7" w:rsidP="00FE2BD7">
            <w:pPr>
              <w:jc w:val="center"/>
              <w:rPr>
                <w:sz w:val="20"/>
                <w:szCs w:val="20"/>
              </w:rPr>
            </w:pPr>
          </w:p>
        </w:tc>
      </w:tr>
      <w:tr w:rsidR="00FE2BD7" w:rsidRPr="008B6A79" w14:paraId="7C1E1DD8" w14:textId="77777777" w:rsidTr="003A08F0">
        <w:trPr>
          <w:gridAfter w:val="1"/>
          <w:wAfter w:w="10" w:type="dxa"/>
        </w:trPr>
        <w:tc>
          <w:tcPr>
            <w:tcW w:w="4380" w:type="dxa"/>
            <w:gridSpan w:val="3"/>
            <w:tcBorders>
              <w:left w:val="single" w:sz="12" w:space="0" w:color="auto"/>
              <w:bottom w:val="single" w:sz="12" w:space="0" w:color="auto"/>
            </w:tcBorders>
            <w:shd w:val="clear" w:color="auto" w:fill="FFFFFF" w:themeFill="background1"/>
          </w:tcPr>
          <w:p w14:paraId="01D33F10" w14:textId="77777777" w:rsidR="00FE2BD7" w:rsidRPr="00145C48" w:rsidRDefault="00FE2BD7" w:rsidP="00FE2BD7">
            <w:pPr>
              <w:ind w:left="720" w:hanging="720"/>
              <w:rPr>
                <w:rFonts w:eastAsia="Times New Roman" w:cs="Arial"/>
                <w:sz w:val="20"/>
              </w:rPr>
            </w:pPr>
            <w:r>
              <w:rPr>
                <w:sz w:val="20"/>
              </w:rPr>
              <w:t>k</w:t>
            </w:r>
            <w:r>
              <w:rPr>
                <w:sz w:val="20"/>
              </w:rPr>
              <w:tab/>
              <w:t>Optimiser les avantages de l’utilisation de la technologie</w:t>
            </w:r>
          </w:p>
          <w:p w14:paraId="2026EFED" w14:textId="77777777" w:rsidR="00FE2BD7" w:rsidRPr="00DC53E8" w:rsidRDefault="00FE2BD7" w:rsidP="00FE2BD7">
            <w:pPr>
              <w:pStyle w:val="ListParagraph"/>
              <w:ind w:left="1632"/>
              <w:rPr>
                <w:rFonts w:eastAsia="Times New Roman" w:cs="Arial"/>
                <w:sz w:val="20"/>
              </w:rPr>
            </w:pPr>
          </w:p>
        </w:tc>
        <w:tc>
          <w:tcPr>
            <w:tcW w:w="2693" w:type="dxa"/>
            <w:gridSpan w:val="2"/>
            <w:tcBorders>
              <w:bottom w:val="single" w:sz="12" w:space="0" w:color="auto"/>
            </w:tcBorders>
            <w:shd w:val="clear" w:color="auto" w:fill="FFFFFF" w:themeFill="background1"/>
            <w:vAlign w:val="center"/>
          </w:tcPr>
          <w:p w14:paraId="10CF29E6" w14:textId="77777777" w:rsidR="00FE2BD7" w:rsidRPr="008B6A79" w:rsidRDefault="00FE2BD7" w:rsidP="00FE2BD7">
            <w:pPr>
              <w:ind w:left="-114" w:right="-102"/>
              <w:jc w:val="center"/>
              <w:rPr>
                <w:sz w:val="20"/>
                <w:szCs w:val="20"/>
              </w:rPr>
            </w:pPr>
          </w:p>
        </w:tc>
        <w:tc>
          <w:tcPr>
            <w:tcW w:w="1417" w:type="dxa"/>
            <w:gridSpan w:val="2"/>
            <w:tcBorders>
              <w:bottom w:val="single" w:sz="12" w:space="0" w:color="auto"/>
            </w:tcBorders>
            <w:shd w:val="clear" w:color="auto" w:fill="auto"/>
            <w:vAlign w:val="center"/>
          </w:tcPr>
          <w:p w14:paraId="76871C04" w14:textId="77777777" w:rsidR="00FE2BD7" w:rsidRPr="00145C48" w:rsidRDefault="00FE2BD7" w:rsidP="00FE2BD7">
            <w:pPr>
              <w:ind w:left="-108" w:right="-108"/>
              <w:jc w:val="center"/>
              <w:rPr>
                <w:sz w:val="18"/>
                <w:szCs w:val="18"/>
              </w:rPr>
            </w:pPr>
            <w:r>
              <w:rPr>
                <w:sz w:val="18"/>
                <w:szCs w:val="18"/>
              </w:rPr>
              <w:t>4</w:t>
            </w:r>
          </w:p>
        </w:tc>
        <w:tc>
          <w:tcPr>
            <w:tcW w:w="1276" w:type="dxa"/>
            <w:tcBorders>
              <w:bottom w:val="single" w:sz="12" w:space="0" w:color="auto"/>
            </w:tcBorders>
            <w:shd w:val="clear" w:color="auto" w:fill="000000" w:themeFill="text1"/>
            <w:vAlign w:val="center"/>
          </w:tcPr>
          <w:p w14:paraId="384ABFE3" w14:textId="77777777" w:rsidR="00FE2BD7" w:rsidRPr="00145C48" w:rsidRDefault="00FE2BD7" w:rsidP="00FE2BD7">
            <w:pPr>
              <w:ind w:left="-108" w:right="-108"/>
              <w:jc w:val="center"/>
              <w:rPr>
                <w:sz w:val="18"/>
                <w:szCs w:val="18"/>
              </w:rPr>
            </w:pPr>
          </w:p>
        </w:tc>
        <w:tc>
          <w:tcPr>
            <w:tcW w:w="1276" w:type="dxa"/>
            <w:gridSpan w:val="2"/>
            <w:tcBorders>
              <w:bottom w:val="single" w:sz="12" w:space="0" w:color="auto"/>
            </w:tcBorders>
            <w:shd w:val="clear" w:color="auto" w:fill="000000" w:themeFill="text1"/>
            <w:vAlign w:val="center"/>
          </w:tcPr>
          <w:p w14:paraId="26B039D0" w14:textId="77777777" w:rsidR="00FE2BD7" w:rsidRPr="00D15DD6" w:rsidRDefault="00FE2BD7" w:rsidP="00FE2BD7">
            <w:pPr>
              <w:ind w:left="-108" w:right="-108"/>
              <w:jc w:val="center"/>
              <w:rPr>
                <w:sz w:val="16"/>
                <w:szCs w:val="20"/>
              </w:rPr>
            </w:pPr>
          </w:p>
        </w:tc>
        <w:tc>
          <w:tcPr>
            <w:tcW w:w="1134" w:type="dxa"/>
            <w:gridSpan w:val="2"/>
            <w:tcBorders>
              <w:bottom w:val="single" w:sz="12" w:space="0" w:color="auto"/>
            </w:tcBorders>
            <w:shd w:val="clear" w:color="auto" w:fill="FF0000"/>
          </w:tcPr>
          <w:p w14:paraId="786DEA54" w14:textId="77777777" w:rsidR="00FE2BD7" w:rsidRDefault="00FE2BD7" w:rsidP="00FE2BD7">
            <w:pPr>
              <w:jc w:val="center"/>
              <w:rPr>
                <w:sz w:val="16"/>
                <w:szCs w:val="20"/>
              </w:rPr>
            </w:pPr>
          </w:p>
          <w:p w14:paraId="51A6ABF1" w14:textId="6593F6BF" w:rsidR="00FE2BD7" w:rsidRPr="008B6A79" w:rsidRDefault="00FE2BD7" w:rsidP="00FE2BD7">
            <w:pPr>
              <w:jc w:val="center"/>
              <w:rPr>
                <w:sz w:val="20"/>
                <w:szCs w:val="20"/>
              </w:rPr>
            </w:pPr>
            <w:r>
              <w:rPr>
                <w:sz w:val="16"/>
                <w:szCs w:val="20"/>
              </w:rPr>
              <w:t>4</w:t>
            </w:r>
          </w:p>
        </w:tc>
        <w:tc>
          <w:tcPr>
            <w:tcW w:w="2062" w:type="dxa"/>
            <w:gridSpan w:val="2"/>
            <w:tcBorders>
              <w:bottom w:val="single" w:sz="12" w:space="0" w:color="auto"/>
              <w:right w:val="single" w:sz="12" w:space="0" w:color="auto"/>
            </w:tcBorders>
            <w:shd w:val="clear" w:color="auto" w:fill="auto"/>
          </w:tcPr>
          <w:p w14:paraId="021F0C0E" w14:textId="59C4E95C" w:rsidR="00FE2BD7" w:rsidRPr="008B6A79" w:rsidRDefault="003A08F0" w:rsidP="00FE2BD7">
            <w:pPr>
              <w:jc w:val="center"/>
              <w:rPr>
                <w:sz w:val="20"/>
                <w:szCs w:val="20"/>
              </w:rPr>
            </w:pPr>
            <w:r>
              <w:rPr>
                <w:sz w:val="18"/>
                <w:szCs w:val="18"/>
              </w:rPr>
              <w:t>Les initiatives seront reportées au plan 2023-2026 (approuvé par le conseil d’administration le 26 oct. 2021).</w:t>
            </w:r>
          </w:p>
        </w:tc>
      </w:tr>
    </w:tbl>
    <w:p w14:paraId="53D6AD19" w14:textId="0F77BA28" w:rsidR="00A64BA6" w:rsidRDefault="00A64BA6" w:rsidP="00DC53E8">
      <w:pPr>
        <w:rPr>
          <w:sz w:val="18"/>
          <w:szCs w:val="20"/>
        </w:rPr>
      </w:pPr>
      <w:bookmarkStart w:id="0" w:name="_GoBack"/>
      <w:bookmarkEnd w:id="0"/>
    </w:p>
    <w:sectPr w:rsidR="00A64BA6" w:rsidSect="00DC571A">
      <w:headerReference w:type="default" r:id="rId11"/>
      <w:pgSz w:w="15840" w:h="12240" w:orient="landscape" w:code="1"/>
      <w:pgMar w:top="567" w:right="454" w:bottom="567" w:left="45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D5A09A" w14:textId="77777777" w:rsidR="00A62115" w:rsidRDefault="00A62115" w:rsidP="00BD74A8">
      <w:r>
        <w:separator/>
      </w:r>
    </w:p>
  </w:endnote>
  <w:endnote w:type="continuationSeparator" w:id="0">
    <w:p w14:paraId="35DBB733" w14:textId="77777777" w:rsidR="00A62115" w:rsidRDefault="00A62115" w:rsidP="00BD7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05E43A" w14:textId="77777777" w:rsidR="00A62115" w:rsidRDefault="00A62115" w:rsidP="00BD74A8">
      <w:r>
        <w:separator/>
      </w:r>
    </w:p>
  </w:footnote>
  <w:footnote w:type="continuationSeparator" w:id="0">
    <w:p w14:paraId="2578768D" w14:textId="77777777" w:rsidR="00A62115" w:rsidRDefault="00A62115" w:rsidP="00BD74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40335" w14:textId="791492C3" w:rsidR="00196ECF" w:rsidRDefault="00FE2BD7" w:rsidP="00196ECF">
    <w:pPr>
      <w:rPr>
        <w:rFonts w:cs="Arial"/>
        <w:sz w:val="22"/>
      </w:rPr>
    </w:pPr>
    <w:r>
      <w:rPr>
        <w:noProof/>
        <w:lang w:val="en-CA" w:eastAsia="en-CA"/>
      </w:rPr>
      <mc:AlternateContent>
        <mc:Choice Requires="wps">
          <w:drawing>
            <wp:anchor distT="45720" distB="45720" distL="114300" distR="114300" simplePos="0" relativeHeight="251657216" behindDoc="0" locked="0" layoutInCell="1" allowOverlap="1" wp14:anchorId="5EED292C" wp14:editId="623B57E0">
              <wp:simplePos x="0" y="0"/>
              <wp:positionH relativeFrom="column">
                <wp:posOffset>1369060</wp:posOffset>
              </wp:positionH>
              <wp:positionV relativeFrom="paragraph">
                <wp:posOffset>-250190</wp:posOffset>
              </wp:positionV>
              <wp:extent cx="7703820" cy="1428750"/>
              <wp:effectExtent l="0" t="0" r="1143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3820" cy="1428750"/>
                      </a:xfrm>
                      <a:prstGeom prst="rect">
                        <a:avLst/>
                      </a:prstGeom>
                      <a:solidFill>
                        <a:srgbClr val="FFFFFF"/>
                      </a:solidFill>
                      <a:ln w="9525">
                        <a:solidFill>
                          <a:srgbClr val="000000"/>
                        </a:solidFill>
                        <a:miter lim="800000"/>
                        <a:headEnd/>
                        <a:tailEnd/>
                      </a:ln>
                    </wps:spPr>
                    <wps:txbx>
                      <w:txbxContent>
                        <w:p w14:paraId="0D624CF6" w14:textId="77777777" w:rsidR="00145C48" w:rsidRDefault="00196ECF" w:rsidP="00196ECF">
                          <w:pPr>
                            <w:rPr>
                              <w:b/>
                              <w:sz w:val="32"/>
                            </w:rPr>
                          </w:pPr>
                          <w:r>
                            <w:rPr>
                              <w:b/>
                              <w:sz w:val="32"/>
                            </w:rPr>
                            <w:t>Ensemble, nous prospérons</w:t>
                          </w:r>
                          <w:r>
                            <w:rPr>
                              <w:b/>
                              <w:sz w:val="32"/>
                            </w:rPr>
                            <w:tab/>
                          </w:r>
                        </w:p>
                        <w:p w14:paraId="090D8AF6" w14:textId="4F8ECAE3" w:rsidR="00FE2BD7" w:rsidRPr="00FE2BD7" w:rsidRDefault="00196ECF" w:rsidP="00FE2BD7">
                          <w:pPr>
                            <w:rPr>
                              <w:b/>
                              <w:sz w:val="22"/>
                            </w:rPr>
                          </w:pPr>
                          <w:r>
                            <w:rPr>
                              <w:b/>
                              <w:sz w:val="22"/>
                            </w:rPr>
                            <w:t xml:space="preserve">Rapport de planification stratégique 2019-2022 </w:t>
                          </w:r>
                          <w:r w:rsidR="00FE2BD7">
                            <w:rPr>
                              <w:b/>
                              <w:sz w:val="22"/>
                            </w:rPr>
                            <w:br/>
                          </w:r>
                          <w:r w:rsidR="00145C48" w:rsidRPr="00FE2BD7">
                            <w:rPr>
                              <w:rFonts w:cs="Arial"/>
                              <w:sz w:val="22"/>
                            </w:rPr>
                            <w:t>Exercice </w:t>
                          </w:r>
                          <w:r w:rsidR="00B1117D" w:rsidRPr="00FE2BD7">
                            <w:rPr>
                              <w:rFonts w:cs="Arial"/>
                              <w:sz w:val="22"/>
                            </w:rPr>
                            <w:t>20</w:t>
                          </w:r>
                          <w:r w:rsidR="00FE2BD7" w:rsidRPr="00FE2BD7">
                            <w:rPr>
                              <w:rFonts w:cs="Arial"/>
                              <w:sz w:val="22"/>
                            </w:rPr>
                            <w:t>21</w:t>
                          </w:r>
                          <w:r w:rsidR="00B1117D" w:rsidRPr="00FE2BD7">
                            <w:rPr>
                              <w:rFonts w:cs="Arial"/>
                              <w:sz w:val="22"/>
                            </w:rPr>
                            <w:t>-202</w:t>
                          </w:r>
                          <w:r w:rsidR="00FE2BD7" w:rsidRPr="00FE2BD7">
                            <w:rPr>
                              <w:rFonts w:cs="Arial"/>
                              <w:sz w:val="22"/>
                            </w:rPr>
                            <w:t>1</w:t>
                          </w:r>
                          <w:r w:rsidR="00145C48" w:rsidRPr="00FE2BD7">
                            <w:rPr>
                              <w:rFonts w:cs="Arial"/>
                              <w:sz w:val="22"/>
                            </w:rPr>
                            <w:t xml:space="preserve"> : </w:t>
                          </w:r>
                          <w:r w:rsidR="00FE2BD7" w:rsidRPr="00FE2BD7">
                            <w:rPr>
                              <w:rFonts w:cs="Arial"/>
                              <w:color w:val="202124"/>
                              <w:sz w:val="22"/>
                              <w:lang w:val="fr-FR"/>
                            </w:rPr>
                            <w:t>Présenté au Conseil le 7 décembre 2021</w:t>
                          </w:r>
                        </w:p>
                        <w:p w14:paraId="11A4232A" w14:textId="77777777" w:rsidR="00196ECF" w:rsidRPr="00FE2BD7" w:rsidRDefault="00196ECF" w:rsidP="00196ECF">
                          <w:pPr>
                            <w:rPr>
                              <w:rFonts w:cs="Arial"/>
                              <w:b/>
                              <w:sz w:val="22"/>
                            </w:rPr>
                          </w:pPr>
                        </w:p>
                        <w:p w14:paraId="60E5B834" w14:textId="77777777" w:rsidR="00196ECF" w:rsidRPr="00145C48" w:rsidRDefault="00196ECF" w:rsidP="00196ECF">
                          <w:pPr>
                            <w:rPr>
                              <w:rFonts w:cs="Arial"/>
                              <w:b/>
                              <w:sz w:val="20"/>
                            </w:rPr>
                          </w:pPr>
                          <w:r w:rsidRPr="00FE2BD7">
                            <w:rPr>
                              <w:rFonts w:cs="Arial"/>
                              <w:b/>
                              <w:sz w:val="22"/>
                            </w:rPr>
                            <w:t>Appliquer continuellement</w:t>
                          </w:r>
                          <w:r>
                            <w:rPr>
                              <w:b/>
                              <w:sz w:val="20"/>
                            </w:rPr>
                            <w:t xml:space="preserve"> nos principes stratégiques </w:t>
                          </w:r>
                        </w:p>
                        <w:p w14:paraId="67D89AB3" w14:textId="77777777" w:rsidR="00196ECF" w:rsidRPr="00145C48" w:rsidRDefault="00196ECF" w:rsidP="00196ECF">
                          <w:pPr>
                            <w:numPr>
                              <w:ilvl w:val="0"/>
                              <w:numId w:val="1"/>
                            </w:numPr>
                            <w:rPr>
                              <w:rFonts w:cs="Arial"/>
                              <w:sz w:val="20"/>
                            </w:rPr>
                          </w:pPr>
                          <w:r>
                            <w:rPr>
                              <w:sz w:val="20"/>
                            </w:rPr>
                            <w:t>Service exceptionnel,</w:t>
                          </w:r>
                        </w:p>
                        <w:p w14:paraId="7BB3AFDF" w14:textId="77777777" w:rsidR="00196ECF" w:rsidRPr="00145C48" w:rsidRDefault="00196ECF" w:rsidP="00196ECF">
                          <w:pPr>
                            <w:numPr>
                              <w:ilvl w:val="0"/>
                              <w:numId w:val="1"/>
                            </w:numPr>
                            <w:rPr>
                              <w:rFonts w:cs="Arial"/>
                              <w:sz w:val="20"/>
                            </w:rPr>
                          </w:pPr>
                          <w:r>
                            <w:rPr>
                              <w:sz w:val="20"/>
                            </w:rPr>
                            <w:t xml:space="preserve">Personnel impliqué </w:t>
                          </w:r>
                        </w:p>
                        <w:p w14:paraId="376EFEF7" w14:textId="77777777" w:rsidR="00196ECF" w:rsidRPr="00145C48" w:rsidRDefault="00196ECF" w:rsidP="00196ECF">
                          <w:pPr>
                            <w:numPr>
                              <w:ilvl w:val="0"/>
                              <w:numId w:val="1"/>
                            </w:numPr>
                            <w:rPr>
                              <w:rFonts w:cs="Arial"/>
                              <w:sz w:val="20"/>
                            </w:rPr>
                          </w:pPr>
                          <w:r>
                            <w:rPr>
                              <w:sz w:val="20"/>
                            </w:rPr>
                            <w:t xml:space="preserve">Collaboration enrichie </w:t>
                          </w:r>
                        </w:p>
                        <w:p w14:paraId="3838146F" w14:textId="77777777" w:rsidR="00196ECF" w:rsidRDefault="00196ECF" w:rsidP="00196ECF"/>
                        <w:p w14:paraId="5A74C3D5" w14:textId="77777777" w:rsidR="00196ECF" w:rsidRDefault="00196ECF" w:rsidP="00196ECF"/>
                        <w:p w14:paraId="4C89B698" w14:textId="77777777" w:rsidR="00196ECF" w:rsidRDefault="00196ECF" w:rsidP="00196E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EED292C" id="_x0000_t202" coordsize="21600,21600" o:spt="202" path="m,l,21600r21600,l21600,xe">
              <v:stroke joinstyle="miter"/>
              <v:path gradientshapeok="t" o:connecttype="rect"/>
            </v:shapetype>
            <v:shape id="Text Box 2" o:spid="_x0000_s1026" type="#_x0000_t202" style="position:absolute;margin-left:107.8pt;margin-top:-19.7pt;width:606.6pt;height:11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">
              <v:textbox>
                <w:txbxContent>
                  <w:p w14:paraId="0D624CF6" w14:textId="77777777" w:rsidR="00145C48" w:rsidRDefault="00196ECF" w:rsidP="00196ECF">
                    <w:pPr>
                      <w:rPr>
                        <w:b/>
                        <w:sz w:val="32"/>
                      </w:rPr>
                    </w:pPr>
                    <w:r>
                      <w:rPr>
                        <w:b/>
                        <w:sz w:val="32"/>
                      </w:rPr>
                      <w:t>Ensemble, nous prospérons</w:t>
                    </w:r>
                    <w:r>
                      <w:rPr>
                        <w:b/>
                        <w:sz w:val="32"/>
                      </w:rPr>
                      <w:tab/>
                    </w:r>
                  </w:p>
                  <w:p w14:paraId="090D8AF6" w14:textId="4F8ECAE3" w:rsidR="00FE2BD7" w:rsidRPr="00FE2BD7" w:rsidRDefault="00196ECF" w:rsidP="00FE2BD7">
                    <w:pPr>
                      <w:rPr>
                        <w:b/>
                        <w:sz w:val="22"/>
                      </w:rPr>
                    </w:pPr>
                    <w:r>
                      <w:rPr>
                        <w:b/>
                        <w:sz w:val="22"/>
                      </w:rPr>
                      <w:t xml:space="preserve">Rapport de planification stratégique 2019-2022 </w:t>
                    </w:r>
                    <w:r w:rsidR="00FE2BD7">
                      <w:rPr>
                        <w:b/>
                        <w:sz w:val="22"/>
                      </w:rPr>
                      <w:br/>
                    </w:r>
                    <w:r w:rsidR="00145C48" w:rsidRPr="00FE2BD7">
                      <w:rPr>
                        <w:rFonts w:cs="Arial"/>
                        <w:sz w:val="22"/>
                      </w:rPr>
                      <w:t>Exercice </w:t>
                    </w:r>
                    <w:r w:rsidR="00B1117D" w:rsidRPr="00FE2BD7">
                      <w:rPr>
                        <w:rFonts w:cs="Arial"/>
                        <w:sz w:val="22"/>
                      </w:rPr>
                      <w:t>20</w:t>
                    </w:r>
                    <w:r w:rsidR="00FE2BD7" w:rsidRPr="00FE2BD7">
                      <w:rPr>
                        <w:rFonts w:cs="Arial"/>
                        <w:sz w:val="22"/>
                      </w:rPr>
                      <w:t>21</w:t>
                    </w:r>
                    <w:r w:rsidR="00B1117D" w:rsidRPr="00FE2BD7">
                      <w:rPr>
                        <w:rFonts w:cs="Arial"/>
                        <w:sz w:val="22"/>
                      </w:rPr>
                      <w:t>-202</w:t>
                    </w:r>
                    <w:r w:rsidR="00FE2BD7" w:rsidRPr="00FE2BD7">
                      <w:rPr>
                        <w:rFonts w:cs="Arial"/>
                        <w:sz w:val="22"/>
                      </w:rPr>
                      <w:t>1</w:t>
                    </w:r>
                    <w:r w:rsidR="00145C48" w:rsidRPr="00FE2BD7">
                      <w:rPr>
                        <w:rFonts w:cs="Arial"/>
                        <w:sz w:val="22"/>
                      </w:rPr>
                      <w:t xml:space="preserve"> : </w:t>
                    </w:r>
                    <w:r w:rsidR="00FE2BD7" w:rsidRPr="00FE2BD7">
                      <w:rPr>
                        <w:rFonts w:cs="Arial"/>
                        <w:color w:val="202124"/>
                        <w:sz w:val="22"/>
                        <w:lang w:val="fr-FR"/>
                      </w:rPr>
                      <w:t>Présenté au Conseil le 7 décembre 2021</w:t>
                    </w:r>
                  </w:p>
                  <w:p w14:paraId="11A4232A" w14:textId="77777777" w:rsidR="00196ECF" w:rsidRPr="00FE2BD7" w:rsidRDefault="00196ECF" w:rsidP="00196ECF">
                    <w:pPr>
                      <w:rPr>
                        <w:rFonts w:cs="Arial"/>
                        <w:b/>
                        <w:sz w:val="22"/>
                      </w:rPr>
                    </w:pPr>
                  </w:p>
                  <w:p w14:paraId="60E5B834" w14:textId="77777777" w:rsidR="00196ECF" w:rsidRPr="00145C48" w:rsidRDefault="00196ECF" w:rsidP="00196ECF">
                    <w:pPr>
                      <w:rPr>
                        <w:rFonts w:cs="Arial"/>
                        <w:b/>
                        <w:sz w:val="20"/>
                      </w:rPr>
                    </w:pPr>
                    <w:r w:rsidRPr="00FE2BD7">
                      <w:rPr>
                        <w:rFonts w:cs="Arial"/>
                        <w:b/>
                        <w:sz w:val="22"/>
                      </w:rPr>
                      <w:t>Appliquer continuellement</w:t>
                    </w:r>
                    <w:r>
                      <w:rPr>
                        <w:b/>
                        <w:sz w:val="20"/>
                      </w:rPr>
                      <w:t xml:space="preserve"> nos principes stratégiques </w:t>
                    </w:r>
                  </w:p>
                  <w:p w14:paraId="67D89AB3" w14:textId="77777777" w:rsidR="00196ECF" w:rsidRPr="00145C48" w:rsidRDefault="00196ECF" w:rsidP="00196ECF">
                    <w:pPr>
                      <w:numPr>
                        <w:ilvl w:val="0"/>
                        <w:numId w:val="1"/>
                      </w:numPr>
                      <w:rPr>
                        <w:rFonts w:cs="Arial"/>
                        <w:sz w:val="20"/>
                      </w:rPr>
                    </w:pPr>
                    <w:r>
                      <w:rPr>
                        <w:sz w:val="20"/>
                      </w:rPr>
                      <w:t>Service exceptionnel,</w:t>
                    </w:r>
                  </w:p>
                  <w:p w14:paraId="7BB3AFDF" w14:textId="77777777" w:rsidR="00196ECF" w:rsidRPr="00145C48" w:rsidRDefault="00196ECF" w:rsidP="00196ECF">
                    <w:pPr>
                      <w:numPr>
                        <w:ilvl w:val="0"/>
                        <w:numId w:val="1"/>
                      </w:numPr>
                      <w:rPr>
                        <w:rFonts w:cs="Arial"/>
                        <w:sz w:val="20"/>
                      </w:rPr>
                    </w:pPr>
                    <w:r>
                      <w:rPr>
                        <w:sz w:val="20"/>
                      </w:rPr>
                      <w:t xml:space="preserve">Personnel impliqué </w:t>
                    </w:r>
                  </w:p>
                  <w:p w14:paraId="376EFEF7" w14:textId="77777777" w:rsidR="00196ECF" w:rsidRPr="00145C48" w:rsidRDefault="00196ECF" w:rsidP="00196ECF">
                    <w:pPr>
                      <w:numPr>
                        <w:ilvl w:val="0"/>
                        <w:numId w:val="1"/>
                      </w:numPr>
                      <w:rPr>
                        <w:rFonts w:cs="Arial"/>
                        <w:sz w:val="20"/>
                      </w:rPr>
                    </w:pPr>
                    <w:r>
                      <w:rPr>
                        <w:sz w:val="20"/>
                      </w:rPr>
                      <w:t xml:space="preserve">Collaboration enrichie </w:t>
                    </w:r>
                  </w:p>
                  <w:p w14:paraId="3838146F" w14:textId="77777777" w:rsidR="00196ECF" w:rsidRDefault="00196ECF" w:rsidP="00196ECF"/>
                  <w:p w14:paraId="5A74C3D5" w14:textId="77777777" w:rsidR="00196ECF" w:rsidRDefault="00196ECF" w:rsidP="00196ECF"/>
                  <w:p w14:paraId="4C89B698" w14:textId="77777777" w:rsidR="00196ECF" w:rsidRDefault="00196ECF" w:rsidP="00196ECF"/>
                </w:txbxContent>
              </v:textbox>
              <w10:wrap type="square"/>
            </v:shape>
          </w:pict>
        </mc:Fallback>
      </mc:AlternateContent>
    </w:r>
    <w:r w:rsidR="00145C48">
      <w:rPr>
        <w:noProof/>
        <w:lang w:val="en-CA" w:eastAsia="en-CA"/>
      </w:rPr>
      <w:drawing>
        <wp:anchor distT="0" distB="0" distL="114300" distR="114300" simplePos="0" relativeHeight="251661312" behindDoc="1" locked="0" layoutInCell="1" allowOverlap="1" wp14:anchorId="490B27AB" wp14:editId="52D66AEF">
          <wp:simplePos x="0" y="0"/>
          <wp:positionH relativeFrom="column">
            <wp:posOffset>168910</wp:posOffset>
          </wp:positionH>
          <wp:positionV relativeFrom="paragraph">
            <wp:posOffset>-49429</wp:posOffset>
          </wp:positionV>
          <wp:extent cx="944880" cy="914017"/>
          <wp:effectExtent l="0" t="0" r="762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BOS_Logo_4c_transparent small.gif"/>
                  <pic:cNvPicPr/>
                </pic:nvPicPr>
                <pic:blipFill>
                  <a:blip r:embed="rId1">
                    <a:extLst>
                      <a:ext uri="{28A0092B-C50C-407E-A947-70E740481C1C}">
                        <a14:useLocalDpi xmlns:a14="http://schemas.microsoft.com/office/drawing/2010/main" val="0"/>
                      </a:ext>
                    </a:extLst>
                  </a:blip>
                  <a:stretch>
                    <a:fillRect/>
                  </a:stretch>
                </pic:blipFill>
                <pic:spPr>
                  <a:xfrm>
                    <a:off x="0" y="0"/>
                    <a:ext cx="944880" cy="914017"/>
                  </a:xfrm>
                  <a:prstGeom prst="rect">
                    <a:avLst/>
                  </a:prstGeom>
                </pic:spPr>
              </pic:pic>
            </a:graphicData>
          </a:graphic>
          <wp14:sizeRelH relativeFrom="page">
            <wp14:pctWidth>0</wp14:pctWidth>
          </wp14:sizeRelH>
          <wp14:sizeRelV relativeFrom="page">
            <wp14:pctHeight>0</wp14:pctHeight>
          </wp14:sizeRelV>
        </wp:anchor>
      </w:drawing>
    </w:r>
    <w:r w:rsidR="00145C48">
      <w:rPr>
        <w:sz w:val="22"/>
      </w:rPr>
      <w:t xml:space="preserve"> </w:t>
    </w:r>
  </w:p>
  <w:p w14:paraId="6CEBE0AB" w14:textId="77777777" w:rsidR="00BD74A8" w:rsidRDefault="00BD74A8" w:rsidP="00ED39F4">
    <w:pPr>
      <w:pStyle w:val="Header"/>
    </w:pPr>
  </w:p>
  <w:p w14:paraId="3016E6D9" w14:textId="77777777" w:rsidR="003369E0" w:rsidRPr="003369E0" w:rsidRDefault="003369E0" w:rsidP="008B6A79">
    <w:pPr>
      <w:pStyle w:val="Header"/>
      <w:jc w:val="center"/>
      <w:rPr>
        <w:sz w:val="4"/>
      </w:rPr>
    </w:pPr>
  </w:p>
  <w:p w14:paraId="79A2EDDE" w14:textId="77777777" w:rsidR="003369E0" w:rsidRDefault="003369E0" w:rsidP="008B6A79">
    <w:pPr>
      <w:pStyle w:val="Header"/>
      <w:jc w:val="center"/>
    </w:pPr>
  </w:p>
  <w:p w14:paraId="7A8C5215" w14:textId="77777777" w:rsidR="00196ECF" w:rsidRDefault="00196ECF" w:rsidP="008B6A79">
    <w:pPr>
      <w:pStyle w:val="Header"/>
      <w:jc w:val="center"/>
    </w:pPr>
  </w:p>
  <w:p w14:paraId="7435FA51" w14:textId="77777777" w:rsidR="00196ECF" w:rsidRDefault="00196ECF" w:rsidP="008B6A79">
    <w:pPr>
      <w:pStyle w:val="Header"/>
      <w:jc w:val="center"/>
    </w:pPr>
  </w:p>
  <w:p w14:paraId="55D0FE05" w14:textId="77777777" w:rsidR="00196ECF" w:rsidRDefault="00196ECF" w:rsidP="008B6A79">
    <w:pPr>
      <w:pStyle w:val="Header"/>
      <w:jc w:val="center"/>
    </w:pPr>
  </w:p>
  <w:p w14:paraId="4DADE4C0" w14:textId="77777777" w:rsidR="00196ECF" w:rsidRDefault="00196ECF" w:rsidP="008B6A7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33ECB"/>
    <w:multiLevelType w:val="hybridMultilevel"/>
    <w:tmpl w:val="6EECC030"/>
    <w:lvl w:ilvl="0" w:tplc="04090001">
      <w:start w:val="1"/>
      <w:numFmt w:val="bullet"/>
      <w:lvlText w:val=""/>
      <w:lvlJc w:val="left"/>
      <w:pPr>
        <w:ind w:left="1632" w:hanging="360"/>
      </w:pPr>
      <w:rPr>
        <w:rFonts w:ascii="Symbol" w:hAnsi="Symbol" w:hint="default"/>
      </w:rPr>
    </w:lvl>
    <w:lvl w:ilvl="1" w:tplc="04090003" w:tentative="1">
      <w:start w:val="1"/>
      <w:numFmt w:val="bullet"/>
      <w:lvlText w:val="o"/>
      <w:lvlJc w:val="left"/>
      <w:pPr>
        <w:ind w:left="2352" w:hanging="360"/>
      </w:pPr>
      <w:rPr>
        <w:rFonts w:ascii="Courier New" w:hAnsi="Courier New" w:cs="Courier New" w:hint="default"/>
      </w:rPr>
    </w:lvl>
    <w:lvl w:ilvl="2" w:tplc="04090005" w:tentative="1">
      <w:start w:val="1"/>
      <w:numFmt w:val="bullet"/>
      <w:lvlText w:val=""/>
      <w:lvlJc w:val="left"/>
      <w:pPr>
        <w:ind w:left="3072" w:hanging="360"/>
      </w:pPr>
      <w:rPr>
        <w:rFonts w:ascii="Wingdings" w:hAnsi="Wingdings" w:hint="default"/>
      </w:rPr>
    </w:lvl>
    <w:lvl w:ilvl="3" w:tplc="04090001" w:tentative="1">
      <w:start w:val="1"/>
      <w:numFmt w:val="bullet"/>
      <w:lvlText w:val=""/>
      <w:lvlJc w:val="left"/>
      <w:pPr>
        <w:ind w:left="3792" w:hanging="360"/>
      </w:pPr>
      <w:rPr>
        <w:rFonts w:ascii="Symbol" w:hAnsi="Symbol" w:hint="default"/>
      </w:rPr>
    </w:lvl>
    <w:lvl w:ilvl="4" w:tplc="04090003" w:tentative="1">
      <w:start w:val="1"/>
      <w:numFmt w:val="bullet"/>
      <w:lvlText w:val="o"/>
      <w:lvlJc w:val="left"/>
      <w:pPr>
        <w:ind w:left="4512" w:hanging="360"/>
      </w:pPr>
      <w:rPr>
        <w:rFonts w:ascii="Courier New" w:hAnsi="Courier New" w:cs="Courier New" w:hint="default"/>
      </w:rPr>
    </w:lvl>
    <w:lvl w:ilvl="5" w:tplc="04090005" w:tentative="1">
      <w:start w:val="1"/>
      <w:numFmt w:val="bullet"/>
      <w:lvlText w:val=""/>
      <w:lvlJc w:val="left"/>
      <w:pPr>
        <w:ind w:left="5232" w:hanging="360"/>
      </w:pPr>
      <w:rPr>
        <w:rFonts w:ascii="Wingdings" w:hAnsi="Wingdings" w:hint="default"/>
      </w:rPr>
    </w:lvl>
    <w:lvl w:ilvl="6" w:tplc="04090001" w:tentative="1">
      <w:start w:val="1"/>
      <w:numFmt w:val="bullet"/>
      <w:lvlText w:val=""/>
      <w:lvlJc w:val="left"/>
      <w:pPr>
        <w:ind w:left="5952" w:hanging="360"/>
      </w:pPr>
      <w:rPr>
        <w:rFonts w:ascii="Symbol" w:hAnsi="Symbol" w:hint="default"/>
      </w:rPr>
    </w:lvl>
    <w:lvl w:ilvl="7" w:tplc="04090003" w:tentative="1">
      <w:start w:val="1"/>
      <w:numFmt w:val="bullet"/>
      <w:lvlText w:val="o"/>
      <w:lvlJc w:val="left"/>
      <w:pPr>
        <w:ind w:left="6672" w:hanging="360"/>
      </w:pPr>
      <w:rPr>
        <w:rFonts w:ascii="Courier New" w:hAnsi="Courier New" w:cs="Courier New" w:hint="default"/>
      </w:rPr>
    </w:lvl>
    <w:lvl w:ilvl="8" w:tplc="04090005" w:tentative="1">
      <w:start w:val="1"/>
      <w:numFmt w:val="bullet"/>
      <w:lvlText w:val=""/>
      <w:lvlJc w:val="left"/>
      <w:pPr>
        <w:ind w:left="7392" w:hanging="360"/>
      </w:pPr>
      <w:rPr>
        <w:rFonts w:ascii="Wingdings" w:hAnsi="Wingdings" w:hint="default"/>
      </w:rPr>
    </w:lvl>
  </w:abstractNum>
  <w:abstractNum w:abstractNumId="1" w15:restartNumberingAfterBreak="0">
    <w:nsid w:val="7C6A44EA"/>
    <w:multiLevelType w:val="hybridMultilevel"/>
    <w:tmpl w:val="4A588E98"/>
    <w:lvl w:ilvl="0" w:tplc="1009000F">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E4D"/>
    <w:rsid w:val="00016197"/>
    <w:rsid w:val="00026EA5"/>
    <w:rsid w:val="00060BE1"/>
    <w:rsid w:val="00092ACD"/>
    <w:rsid w:val="00093132"/>
    <w:rsid w:val="000F45D2"/>
    <w:rsid w:val="001230CA"/>
    <w:rsid w:val="001242C4"/>
    <w:rsid w:val="00145C48"/>
    <w:rsid w:val="001466A2"/>
    <w:rsid w:val="00166685"/>
    <w:rsid w:val="0019677D"/>
    <w:rsid w:val="00196ECF"/>
    <w:rsid w:val="001A436F"/>
    <w:rsid w:val="001B4858"/>
    <w:rsid w:val="001B4E78"/>
    <w:rsid w:val="00201A6C"/>
    <w:rsid w:val="00277435"/>
    <w:rsid w:val="002816B9"/>
    <w:rsid w:val="002831F4"/>
    <w:rsid w:val="0028467C"/>
    <w:rsid w:val="002C7D4D"/>
    <w:rsid w:val="00320257"/>
    <w:rsid w:val="003369E0"/>
    <w:rsid w:val="003A08F0"/>
    <w:rsid w:val="003B1031"/>
    <w:rsid w:val="003C59D3"/>
    <w:rsid w:val="003E7731"/>
    <w:rsid w:val="00405486"/>
    <w:rsid w:val="00445EDB"/>
    <w:rsid w:val="004508B5"/>
    <w:rsid w:val="00481E03"/>
    <w:rsid w:val="004D4D57"/>
    <w:rsid w:val="004D7A6B"/>
    <w:rsid w:val="00507984"/>
    <w:rsid w:val="00550E75"/>
    <w:rsid w:val="0055615F"/>
    <w:rsid w:val="00571052"/>
    <w:rsid w:val="005B24ED"/>
    <w:rsid w:val="005C7187"/>
    <w:rsid w:val="005D77BB"/>
    <w:rsid w:val="0060152A"/>
    <w:rsid w:val="00637014"/>
    <w:rsid w:val="0065531F"/>
    <w:rsid w:val="006556EC"/>
    <w:rsid w:val="006649B9"/>
    <w:rsid w:val="006879B8"/>
    <w:rsid w:val="006B57DB"/>
    <w:rsid w:val="006E2076"/>
    <w:rsid w:val="00744A0D"/>
    <w:rsid w:val="007464C7"/>
    <w:rsid w:val="007774BD"/>
    <w:rsid w:val="0078735A"/>
    <w:rsid w:val="007F25CF"/>
    <w:rsid w:val="008A5EA5"/>
    <w:rsid w:val="008B6A79"/>
    <w:rsid w:val="008C172A"/>
    <w:rsid w:val="008C3FDC"/>
    <w:rsid w:val="008E7930"/>
    <w:rsid w:val="0090641D"/>
    <w:rsid w:val="00910C8A"/>
    <w:rsid w:val="009143C2"/>
    <w:rsid w:val="00971BE9"/>
    <w:rsid w:val="00980AD7"/>
    <w:rsid w:val="009A7D4D"/>
    <w:rsid w:val="009B7C36"/>
    <w:rsid w:val="009E4556"/>
    <w:rsid w:val="00A02B61"/>
    <w:rsid w:val="00A06D64"/>
    <w:rsid w:val="00A25A9F"/>
    <w:rsid w:val="00A25EE7"/>
    <w:rsid w:val="00A4324D"/>
    <w:rsid w:val="00A50720"/>
    <w:rsid w:val="00A62115"/>
    <w:rsid w:val="00A64BA6"/>
    <w:rsid w:val="00AA7C9C"/>
    <w:rsid w:val="00AC0F8D"/>
    <w:rsid w:val="00AC28BD"/>
    <w:rsid w:val="00AD63E4"/>
    <w:rsid w:val="00AE1247"/>
    <w:rsid w:val="00B00E4D"/>
    <w:rsid w:val="00B1117D"/>
    <w:rsid w:val="00B131C9"/>
    <w:rsid w:val="00B16680"/>
    <w:rsid w:val="00B95F43"/>
    <w:rsid w:val="00BB566D"/>
    <w:rsid w:val="00BD1D05"/>
    <w:rsid w:val="00BD74A8"/>
    <w:rsid w:val="00BF0EC8"/>
    <w:rsid w:val="00BF3C94"/>
    <w:rsid w:val="00C247C9"/>
    <w:rsid w:val="00C352CA"/>
    <w:rsid w:val="00C4310A"/>
    <w:rsid w:val="00C622DC"/>
    <w:rsid w:val="00C75D1F"/>
    <w:rsid w:val="00CE4666"/>
    <w:rsid w:val="00CE5109"/>
    <w:rsid w:val="00D026E5"/>
    <w:rsid w:val="00D13FEF"/>
    <w:rsid w:val="00D15DD6"/>
    <w:rsid w:val="00D43198"/>
    <w:rsid w:val="00D714BF"/>
    <w:rsid w:val="00DB106C"/>
    <w:rsid w:val="00DC53E8"/>
    <w:rsid w:val="00DC571A"/>
    <w:rsid w:val="00DE4F1F"/>
    <w:rsid w:val="00DF2CAA"/>
    <w:rsid w:val="00DF4D13"/>
    <w:rsid w:val="00E02E1B"/>
    <w:rsid w:val="00E30645"/>
    <w:rsid w:val="00E66E07"/>
    <w:rsid w:val="00E71701"/>
    <w:rsid w:val="00ED39F4"/>
    <w:rsid w:val="00EF6BDC"/>
    <w:rsid w:val="00F46F84"/>
    <w:rsid w:val="00F94850"/>
    <w:rsid w:val="00FB6EF3"/>
    <w:rsid w:val="00FE2BD7"/>
    <w:rsid w:val="00FF4CF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AAF824D"/>
  <w15:docId w15:val="{8BC75AB1-283E-4D94-B88C-1A15742C8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fr-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5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47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74A8"/>
    <w:pPr>
      <w:tabs>
        <w:tab w:val="center" w:pos="4680"/>
        <w:tab w:val="right" w:pos="9360"/>
      </w:tabs>
    </w:pPr>
  </w:style>
  <w:style w:type="character" w:customStyle="1" w:styleId="HeaderChar">
    <w:name w:val="Header Char"/>
    <w:basedOn w:val="DefaultParagraphFont"/>
    <w:link w:val="Header"/>
    <w:uiPriority w:val="99"/>
    <w:rsid w:val="00BD74A8"/>
  </w:style>
  <w:style w:type="paragraph" w:styleId="Footer">
    <w:name w:val="footer"/>
    <w:basedOn w:val="Normal"/>
    <w:link w:val="FooterChar"/>
    <w:uiPriority w:val="99"/>
    <w:unhideWhenUsed/>
    <w:rsid w:val="00BD74A8"/>
    <w:pPr>
      <w:tabs>
        <w:tab w:val="center" w:pos="4680"/>
        <w:tab w:val="right" w:pos="9360"/>
      </w:tabs>
    </w:pPr>
  </w:style>
  <w:style w:type="character" w:customStyle="1" w:styleId="FooterChar">
    <w:name w:val="Footer Char"/>
    <w:basedOn w:val="DefaultParagraphFont"/>
    <w:link w:val="Footer"/>
    <w:uiPriority w:val="99"/>
    <w:rsid w:val="00BD74A8"/>
  </w:style>
  <w:style w:type="paragraph" w:styleId="BalloonText">
    <w:name w:val="Balloon Text"/>
    <w:basedOn w:val="Normal"/>
    <w:link w:val="BalloonTextChar"/>
    <w:uiPriority w:val="99"/>
    <w:semiHidden/>
    <w:unhideWhenUsed/>
    <w:rsid w:val="00BD74A8"/>
    <w:rPr>
      <w:rFonts w:ascii="Tahoma" w:hAnsi="Tahoma" w:cs="Tahoma"/>
      <w:sz w:val="16"/>
      <w:szCs w:val="16"/>
    </w:rPr>
  </w:style>
  <w:style w:type="character" w:customStyle="1" w:styleId="BalloonTextChar">
    <w:name w:val="Balloon Text Char"/>
    <w:basedOn w:val="DefaultParagraphFont"/>
    <w:link w:val="BalloonText"/>
    <w:uiPriority w:val="99"/>
    <w:semiHidden/>
    <w:rsid w:val="00BD74A8"/>
    <w:rPr>
      <w:rFonts w:ascii="Tahoma" w:hAnsi="Tahoma" w:cs="Tahoma"/>
      <w:sz w:val="16"/>
      <w:szCs w:val="16"/>
    </w:rPr>
  </w:style>
  <w:style w:type="paragraph" w:styleId="ListParagraph">
    <w:name w:val="List Paragraph"/>
    <w:basedOn w:val="Normal"/>
    <w:uiPriority w:val="34"/>
    <w:qFormat/>
    <w:rsid w:val="00E02E1B"/>
    <w:pPr>
      <w:ind w:left="720"/>
      <w:contextualSpacing/>
    </w:pPr>
  </w:style>
  <w:style w:type="paragraph" w:styleId="HTMLPreformatted">
    <w:name w:val="HTML Preformatted"/>
    <w:basedOn w:val="Normal"/>
    <w:link w:val="HTMLPreformattedChar"/>
    <w:uiPriority w:val="99"/>
    <w:semiHidden/>
    <w:unhideWhenUsed/>
    <w:rsid w:val="00FE2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CA" w:eastAsia="en-CA"/>
    </w:rPr>
  </w:style>
  <w:style w:type="character" w:customStyle="1" w:styleId="HTMLPreformattedChar">
    <w:name w:val="HTML Preformatted Char"/>
    <w:basedOn w:val="DefaultParagraphFont"/>
    <w:link w:val="HTMLPreformatted"/>
    <w:uiPriority w:val="99"/>
    <w:semiHidden/>
    <w:rsid w:val="00FE2BD7"/>
    <w:rPr>
      <w:rFonts w:ascii="Courier New" w:eastAsia="Times New Roman" w:hAnsi="Courier New" w:cs="Courier New"/>
      <w:sz w:val="20"/>
      <w:szCs w:val="20"/>
      <w:lang w:val="en-CA" w:eastAsia="en-CA"/>
    </w:rPr>
  </w:style>
  <w:style w:type="character" w:customStyle="1" w:styleId="y2iqfc">
    <w:name w:val="y2iqfc"/>
    <w:basedOn w:val="DefaultParagraphFont"/>
    <w:rsid w:val="00FE2B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429048">
      <w:bodyDiv w:val="1"/>
      <w:marLeft w:val="0"/>
      <w:marRight w:val="0"/>
      <w:marTop w:val="0"/>
      <w:marBottom w:val="0"/>
      <w:divBdr>
        <w:top w:val="none" w:sz="0" w:space="0" w:color="auto"/>
        <w:left w:val="none" w:sz="0" w:space="0" w:color="auto"/>
        <w:bottom w:val="none" w:sz="0" w:space="0" w:color="auto"/>
        <w:right w:val="none" w:sz="0" w:space="0" w:color="auto"/>
      </w:divBdr>
    </w:div>
    <w:div w:id="1071542936">
      <w:bodyDiv w:val="1"/>
      <w:marLeft w:val="0"/>
      <w:marRight w:val="0"/>
      <w:marTop w:val="0"/>
      <w:marBottom w:val="0"/>
      <w:divBdr>
        <w:top w:val="none" w:sz="0" w:space="0" w:color="auto"/>
        <w:left w:val="none" w:sz="0" w:space="0" w:color="auto"/>
        <w:bottom w:val="none" w:sz="0" w:space="0" w:color="auto"/>
        <w:right w:val="none" w:sz="0" w:space="0" w:color="auto"/>
      </w:divBdr>
    </w:div>
    <w:div w:id="1515027324">
      <w:bodyDiv w:val="1"/>
      <w:marLeft w:val="0"/>
      <w:marRight w:val="0"/>
      <w:marTop w:val="0"/>
      <w:marBottom w:val="0"/>
      <w:divBdr>
        <w:top w:val="none" w:sz="0" w:space="0" w:color="auto"/>
        <w:left w:val="none" w:sz="0" w:space="0" w:color="auto"/>
        <w:bottom w:val="none" w:sz="0" w:space="0" w:color="auto"/>
        <w:right w:val="none" w:sz="0" w:space="0" w:color="auto"/>
      </w:divBdr>
    </w:div>
    <w:div w:id="1662852641">
      <w:bodyDiv w:val="1"/>
      <w:marLeft w:val="0"/>
      <w:marRight w:val="0"/>
      <w:marTop w:val="0"/>
      <w:marBottom w:val="0"/>
      <w:divBdr>
        <w:top w:val="none" w:sz="0" w:space="0" w:color="auto"/>
        <w:left w:val="none" w:sz="0" w:space="0" w:color="auto"/>
        <w:bottom w:val="none" w:sz="0" w:space="0" w:color="auto"/>
        <w:right w:val="none" w:sz="0" w:space="0" w:color="auto"/>
      </w:divBdr>
    </w:div>
    <w:div w:id="182350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094A976B831004D8837ED06559AE4E8" ma:contentTypeVersion="14" ma:contentTypeDescription="Create a new document." ma:contentTypeScope="" ma:versionID="f9c7fdd95349f8d09ce496611a8ba1e3">
  <xsd:schema xmlns:xsd="http://www.w3.org/2001/XMLSchema" xmlns:xs="http://www.w3.org/2001/XMLSchema" xmlns:p="http://schemas.microsoft.com/office/2006/metadata/properties" xmlns:ns3="92532d11-75e7-42b1-bb77-23bc02206583" xmlns:ns4="a4f709b9-c5be-4f99-abfc-1eff931d502d" targetNamespace="http://schemas.microsoft.com/office/2006/metadata/properties" ma:root="true" ma:fieldsID="2bfd472aadca9470733c36bc7c71ed45" ns3:_="" ns4:_="">
    <xsd:import namespace="92532d11-75e7-42b1-bb77-23bc02206583"/>
    <xsd:import namespace="a4f709b9-c5be-4f99-abfc-1eff931d502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2d11-75e7-42b1-bb77-23bc022065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f709b9-c5be-4f99-abfc-1eff931d502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31839-5DCB-497A-8288-BE588F4CE265}">
  <ds:schemaRefs>
    <ds:schemaRef ds:uri="http://schemas.microsoft.com/sharepoint/v3/contenttype/forms"/>
  </ds:schemaRefs>
</ds:datastoreItem>
</file>

<file path=customXml/itemProps2.xml><?xml version="1.0" encoding="utf-8"?>
<ds:datastoreItem xmlns:ds="http://schemas.openxmlformats.org/officeDocument/2006/customXml" ds:itemID="{F490A1F5-771B-40F2-AF43-0074FACFB5CB}">
  <ds:schemaRefs>
    <ds:schemaRef ds:uri="92532d11-75e7-42b1-bb77-23bc02206583"/>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a4f709b9-c5be-4f99-abfc-1eff931d502d"/>
    <ds:schemaRef ds:uri="http://www.w3.org/XML/1998/namespace"/>
    <ds:schemaRef ds:uri="http://purl.org/dc/dcmitype/"/>
  </ds:schemaRefs>
</ds:datastoreItem>
</file>

<file path=customXml/itemProps3.xml><?xml version="1.0" encoding="utf-8"?>
<ds:datastoreItem xmlns:ds="http://schemas.openxmlformats.org/officeDocument/2006/customXml" ds:itemID="{685C00EB-FB2F-47DD-98B4-96E0A46ABF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32d11-75e7-42b1-bb77-23bc02206583"/>
    <ds:schemaRef ds:uri="a4f709b9-c5be-4f99-abfc-1eff931d50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E70ED7-E0DD-4B68-B61D-5436A4E21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Strategic Objective Update – First Quarter (April – June 2015)</vt:lpstr>
    </vt:vector>
  </TitlesOfParts>
  <Company>Microsoft</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Objective Update – First Quarter (April – June 2015)</dc:title>
  <dc:creator>Suzanne Willett</dc:creator>
  <cp:lastModifiedBy>Samantha Marren (SCC)</cp:lastModifiedBy>
  <cp:revision>3</cp:revision>
  <cp:lastPrinted>2017-11-22T18:06:00Z</cp:lastPrinted>
  <dcterms:created xsi:type="dcterms:W3CDTF">2021-12-24T15:44:00Z</dcterms:created>
  <dcterms:modified xsi:type="dcterms:W3CDTF">2022-03-01T18:03:00Z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0x0101005094A976B831004D8837ED06559AE4E8</vt:lpwstr>
  </property>
</Properties>
</file>