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81" w:tblpY="-59"/>
        <w:tblW w:w="14248" w:type="dxa"/>
        <w:tblLayout w:type="fixed"/>
        <w:tblLook w:val="04A0" w:firstRow="1" w:lastRow="0" w:firstColumn="1" w:lastColumn="0" w:noHBand="0" w:noVBand="1"/>
      </w:tblPr>
      <w:tblGrid>
        <w:gridCol w:w="2354"/>
        <w:gridCol w:w="1084"/>
        <w:gridCol w:w="2520"/>
        <w:gridCol w:w="180"/>
        <w:gridCol w:w="1080"/>
        <w:gridCol w:w="1080"/>
        <w:gridCol w:w="1260"/>
        <w:gridCol w:w="450"/>
        <w:gridCol w:w="900"/>
        <w:gridCol w:w="360"/>
        <w:gridCol w:w="900"/>
        <w:gridCol w:w="690"/>
        <w:gridCol w:w="388"/>
        <w:gridCol w:w="992"/>
        <w:gridCol w:w="10"/>
      </w:tblGrid>
      <w:tr w:rsidR="00145C48" w:rsidRPr="003B1031" w14:paraId="5AD28485" w14:textId="77777777" w:rsidTr="00145C48">
        <w:trPr>
          <w:trHeight w:val="617"/>
        </w:trPr>
        <w:tc>
          <w:tcPr>
            <w:tcW w:w="14248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179270" w14:textId="77777777" w:rsidR="00145C48" w:rsidRPr="00093132" w:rsidRDefault="00145C48" w:rsidP="00145C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LÉGENDE</w:t>
            </w:r>
          </w:p>
          <w:p w14:paraId="7A599C6A" w14:textId="77777777" w:rsidR="00145C48" w:rsidRPr="00093132" w:rsidRDefault="00145C48" w:rsidP="00145C48">
            <w:pPr>
              <w:shd w:val="clear" w:color="auto" w:fill="FFFFFF" w:themeFill="background1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(Veuillez noter : Plusieurs objectifs stratégiques comportent de multiples initiatives.  Tous les objectifs stratégiques sont pluriannuels, sauf indication contraire)</w:t>
            </w:r>
          </w:p>
        </w:tc>
      </w:tr>
      <w:tr w:rsidR="00145C48" w:rsidRPr="003B1031" w14:paraId="479458AF" w14:textId="77777777" w:rsidTr="00B1117D">
        <w:trPr>
          <w:gridAfter w:val="1"/>
          <w:wAfter w:w="10" w:type="dxa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32BF73" w14:textId="77777777" w:rsidR="00145C48" w:rsidRPr="00BD1D05" w:rsidRDefault="00145C48" w:rsidP="009B7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Satisfaisante (70 % ou plus des initiatives complétées)</w:t>
            </w:r>
          </w:p>
        </w:tc>
        <w:tc>
          <w:tcPr>
            <w:tcW w:w="10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AE79684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860377" w14:textId="77777777" w:rsidR="00145C48" w:rsidRPr="00BD1D05" w:rsidRDefault="00145C48" w:rsidP="009B7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Mesures supplémentaires requises (50 % ou plus des initiatives complétées)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D3FF14E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190797" w14:textId="77777777" w:rsidR="00145C48" w:rsidRPr="00BD1D05" w:rsidRDefault="00145C48" w:rsidP="009B7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Mesures requises/Insuffisante (Moins de 50 % des initiatives complétées)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04505EC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00EEF2" w14:textId="77777777" w:rsidR="00145C48" w:rsidRPr="00BD1D05" w:rsidRDefault="00145C48" w:rsidP="00145C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S.O. pour l’exercice financier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5DBAD4E" w14:textId="77777777" w:rsidR="00145C48" w:rsidRPr="00BD1D05" w:rsidRDefault="00145C48" w:rsidP="009B7C36">
            <w:pPr>
              <w:jc w:val="center"/>
              <w:rPr>
                <w:sz w:val="20"/>
              </w:rPr>
            </w:pPr>
          </w:p>
        </w:tc>
      </w:tr>
      <w:tr w:rsidR="00E02E1B" w:rsidRPr="003B1031" w14:paraId="700F10B1" w14:textId="77777777" w:rsidTr="00145C48">
        <w:trPr>
          <w:gridAfter w:val="1"/>
          <w:wAfter w:w="10" w:type="dxa"/>
        </w:trPr>
        <w:tc>
          <w:tcPr>
            <w:tcW w:w="59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211B1921" w14:textId="77777777" w:rsidR="00145C48" w:rsidRDefault="00E02E1B" w:rsidP="009B7C36">
            <w:pPr>
              <w:jc w:val="center"/>
              <w:rPr>
                <w:rFonts w:cs="Arial"/>
              </w:rPr>
            </w:pPr>
            <w:r>
              <w:t>Objectifs stratégiques</w:t>
            </w:r>
          </w:p>
          <w:p w14:paraId="279FBB84" w14:textId="2026106A" w:rsidR="00E02E1B" w:rsidRPr="003B1031" w:rsidRDefault="00E02E1B" w:rsidP="009B7C36">
            <w:pPr>
              <w:jc w:val="center"/>
              <w:rPr>
                <w:i/>
                <w:sz w:val="20"/>
              </w:rPr>
            </w:pPr>
            <w:r>
              <w:t xml:space="preserve"> - Facteurs clés de réussite </w:t>
            </w:r>
            <w:r w:rsidR="00DC53E8">
              <w:t>-</w:t>
            </w:r>
          </w:p>
          <w:p w14:paraId="35E97718" w14:textId="77777777" w:rsidR="00E02E1B" w:rsidRPr="003B1031" w:rsidRDefault="00E02E1B" w:rsidP="009B7C36">
            <w:pPr>
              <w:jc w:val="center"/>
              <w:rPr>
                <w:i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88A99C7" w14:textId="77777777" w:rsidR="00E02E1B" w:rsidRDefault="00E02E1B" w:rsidP="00201A6C">
            <w:pPr>
              <w:ind w:left="-114" w:right="-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Comité assigné </w:t>
            </w:r>
          </w:p>
          <w:p w14:paraId="583A3AC3" w14:textId="77777777" w:rsidR="00E02E1B" w:rsidRPr="003B1031" w:rsidRDefault="00E02E1B" w:rsidP="00201A6C">
            <w:pPr>
              <w:ind w:left="-114" w:right="-1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(s’il y a lieu)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CED3204" w14:textId="77777777" w:rsidR="00E02E1B" w:rsidRDefault="00E02E1B" w:rsidP="00E02E1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</w:t>
            </w:r>
            <w:r>
              <w:rPr>
                <w:i/>
                <w:sz w:val="20"/>
                <w:vertAlign w:val="superscript"/>
              </w:rPr>
              <w:t>o</w:t>
            </w:r>
            <w:r>
              <w:rPr>
                <w:i/>
                <w:sz w:val="20"/>
              </w:rPr>
              <w:t xml:space="preserve"> total d’initiatives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42A4A1DD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AF</w:t>
            </w:r>
          </w:p>
          <w:p w14:paraId="40E27008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2019</w:t>
            </w:r>
          </w:p>
          <w:p w14:paraId="49F0A717" w14:textId="77777777" w:rsidR="00E02E1B" w:rsidRPr="003B1031" w:rsidRDefault="00E02E1B" w:rsidP="00ED39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047026F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AF</w:t>
            </w:r>
          </w:p>
          <w:p w14:paraId="2F353770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2020</w:t>
            </w:r>
          </w:p>
          <w:p w14:paraId="279C98BC" w14:textId="77777777" w:rsidR="00E02E1B" w:rsidRPr="003B1031" w:rsidRDefault="00E02E1B" w:rsidP="00ED39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2021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3D9C1DFE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AF</w:t>
            </w:r>
          </w:p>
          <w:p w14:paraId="29376DDF" w14:textId="77777777" w:rsidR="00E02E1B" w:rsidRDefault="00E02E1B" w:rsidP="008B6A7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2021</w:t>
            </w:r>
          </w:p>
          <w:p w14:paraId="4E7EBA42" w14:textId="77777777" w:rsidR="00E02E1B" w:rsidRPr="003B1031" w:rsidRDefault="00E02E1B" w:rsidP="00ED39F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EBC634B" w14:textId="77777777" w:rsidR="00E02E1B" w:rsidRDefault="00E02E1B" w:rsidP="009B7C3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Situation</w:t>
            </w:r>
          </w:p>
          <w:p w14:paraId="4C3A34F9" w14:textId="77777777" w:rsidR="00E02E1B" w:rsidRPr="003B1031" w:rsidRDefault="00E02E1B" w:rsidP="009B7C3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globale</w:t>
            </w:r>
          </w:p>
        </w:tc>
      </w:tr>
      <w:tr w:rsidR="00E02E1B" w:rsidRPr="008B6A79" w14:paraId="61827B2B" w14:textId="77777777" w:rsidTr="00B1117D">
        <w:trPr>
          <w:gridAfter w:val="1"/>
          <w:wAfter w:w="10" w:type="dxa"/>
        </w:trPr>
        <w:tc>
          <w:tcPr>
            <w:tcW w:w="595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5EB61F32" w14:textId="53EC386C" w:rsidR="00E02E1B" w:rsidRPr="00145C48" w:rsidRDefault="00E02E1B" w:rsidP="00DC53E8">
            <w:pPr>
              <w:ind w:left="731" w:hanging="731"/>
              <w:rPr>
                <w:rFonts w:eastAsia="Times New Roman" w:cs="Arial"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</w:t>
            </w:r>
            <w:proofErr w:type="spellEnd"/>
            <w:proofErr w:type="gramEnd"/>
            <w:r>
              <w:rPr>
                <w:sz w:val="20"/>
              </w:rPr>
              <w:tab/>
              <w:t>Bâtir et soutenir continuellement la culture des services</w:t>
            </w:r>
            <w:r w:rsidR="00DC53E8">
              <w:rPr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 w:rsidR="00DC53E8">
              <w:rPr>
                <w:sz w:val="20"/>
              </w:rPr>
              <w:t xml:space="preserve"> </w:t>
            </w:r>
            <w:r w:rsidR="00145C48">
              <w:rPr>
                <w:sz w:val="20"/>
              </w:rPr>
              <w:t>Service ontarien de la surdicécité</w:t>
            </w:r>
          </w:p>
          <w:p w14:paraId="0BD7A951" w14:textId="77777777" w:rsidR="00E02E1B" w:rsidRPr="00145C48" w:rsidRDefault="00E02E1B" w:rsidP="00145C4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B874E55" w14:textId="77777777" w:rsidR="00E02E1B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Finances</w:t>
            </w:r>
          </w:p>
          <w:p w14:paraId="40D4FEC7" w14:textId="77777777" w:rsidR="00E02E1B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Gouvernance</w:t>
            </w:r>
          </w:p>
          <w:p w14:paraId="463EE159" w14:textId="77777777" w:rsidR="00E02E1B" w:rsidRPr="008B6A79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 gouvernementales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57F0FD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49C51C0F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29D258EC" w14:textId="6E91DDCA" w:rsidR="00E02E1B" w:rsidRPr="00D15DD6" w:rsidRDefault="00B1117D" w:rsidP="004D4D57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5AA17AD" w14:textId="77777777" w:rsidR="00E02E1B" w:rsidRPr="008B6A79" w:rsidRDefault="00E02E1B" w:rsidP="004D4D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5AF554" w14:textId="77777777" w:rsidR="00E02E1B" w:rsidRPr="008B6A79" w:rsidRDefault="00E02E1B" w:rsidP="00060BE1">
            <w:pPr>
              <w:jc w:val="center"/>
              <w:rPr>
                <w:sz w:val="20"/>
                <w:szCs w:val="20"/>
              </w:rPr>
            </w:pPr>
          </w:p>
        </w:tc>
      </w:tr>
      <w:tr w:rsidR="00E02E1B" w:rsidRPr="008B6A79" w14:paraId="0CC4FB72" w14:textId="77777777" w:rsidTr="00B1117D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65BC10C9" w14:textId="77777777" w:rsidR="00E02E1B" w:rsidRPr="00145C48" w:rsidRDefault="00E02E1B" w:rsidP="00E02E1B">
            <w:pPr>
              <w:rPr>
                <w:rFonts w:eastAsia="Times New Roman" w:cs="Arial"/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ab/>
              <w:t>Autonomiser les employés à tous les niveaux</w:t>
            </w:r>
          </w:p>
          <w:p w14:paraId="7ADCEBFF" w14:textId="77777777" w:rsidR="00E02E1B" w:rsidRPr="00145C48" w:rsidRDefault="00E02E1B" w:rsidP="00E02E1B">
            <w:pPr>
              <w:pStyle w:val="ListParagraph"/>
              <w:ind w:left="1632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085694F2" w14:textId="77777777" w:rsidR="00E02E1B" w:rsidRPr="008B6A79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9CAC67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218ED6DE" w14:textId="77777777" w:rsidR="00E02E1B" w:rsidRPr="00145C48" w:rsidRDefault="00E02E1B" w:rsidP="00145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7FD5C867" w14:textId="77777777" w:rsidR="00E02E1B" w:rsidRPr="00D15DD6" w:rsidRDefault="00E02E1B" w:rsidP="00E02E1B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47761BBE" w14:textId="77777777" w:rsidR="00E02E1B" w:rsidRPr="008B6A79" w:rsidRDefault="00E02E1B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131979" w14:textId="77777777" w:rsidR="00E02E1B" w:rsidRPr="008B6A79" w:rsidRDefault="00E02E1B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B1117D" w:rsidRPr="008B6A79" w14:paraId="4C4B2169" w14:textId="77777777" w:rsidTr="00B1117D">
        <w:trPr>
          <w:gridAfter w:val="1"/>
          <w:wAfter w:w="10" w:type="dxa"/>
          <w:trHeight w:val="1150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7BEEF8A3" w14:textId="77777777" w:rsidR="00B1117D" w:rsidRDefault="00B1117D" w:rsidP="00E02E1B">
            <w:pPr>
              <w:rPr>
                <w:rFonts w:eastAsia="Times New Roman" w:cs="Arial"/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ab/>
              <w:t xml:space="preserve">Favoriser la collaboration externe (provincial, national, </w:t>
            </w:r>
          </w:p>
          <w:p w14:paraId="19C57636" w14:textId="77777777" w:rsidR="00B1117D" w:rsidRPr="00145C48" w:rsidRDefault="00B1117D" w:rsidP="00E02E1B">
            <w:pPr>
              <w:rPr>
                <w:rFonts w:eastAsia="Times New Roman" w:cs="Arial"/>
                <w:sz w:val="20"/>
              </w:rPr>
            </w:pPr>
            <w:r>
              <w:rPr>
                <w:sz w:val="20"/>
              </w:rPr>
              <w:t xml:space="preserve">             international)</w:t>
            </w:r>
          </w:p>
          <w:p w14:paraId="4754A5CC" w14:textId="77777777" w:rsidR="00B1117D" w:rsidRPr="00145C48" w:rsidRDefault="00B1117D" w:rsidP="00E02E1B">
            <w:pPr>
              <w:pStyle w:val="ListParagraph"/>
              <w:ind w:left="1632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15695515" w14:textId="77777777" w:rsidR="00B1117D" w:rsidRDefault="00B1117D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 gouvernementales</w:t>
            </w:r>
          </w:p>
          <w:p w14:paraId="04F1D588" w14:textId="77777777" w:rsidR="00B1117D" w:rsidRDefault="00B1117D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à la clientèle</w:t>
            </w:r>
          </w:p>
          <w:p w14:paraId="4C998026" w14:textId="77777777" w:rsidR="00B1117D" w:rsidRDefault="00B1117D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Finances</w:t>
            </w:r>
          </w:p>
          <w:p w14:paraId="37D5FF0E" w14:textId="77777777" w:rsidR="00B1117D" w:rsidRPr="008B6A79" w:rsidRDefault="00B1117D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A6A058" w14:textId="77777777" w:rsidR="00B1117D" w:rsidRPr="00145C48" w:rsidRDefault="00B1117D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3E6204CB" w14:textId="290D89B9" w:rsidR="00B1117D" w:rsidRPr="00145C48" w:rsidRDefault="00B1117D" w:rsidP="00F9722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515EBBC2" w14:textId="07695474" w:rsidR="00B1117D" w:rsidRPr="00D15DD6" w:rsidRDefault="00B1117D" w:rsidP="00E02E1B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3A55DD6A" w14:textId="77777777" w:rsidR="00B1117D" w:rsidRPr="008B6A79" w:rsidRDefault="00B1117D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C007B" w14:textId="77777777" w:rsidR="00B1117D" w:rsidRPr="008B6A79" w:rsidRDefault="00B1117D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B1117D" w:rsidRPr="008B6A79" w14:paraId="11275E75" w14:textId="77777777" w:rsidTr="00B1117D">
        <w:trPr>
          <w:gridAfter w:val="1"/>
          <w:wAfter w:w="10" w:type="dxa"/>
          <w:trHeight w:val="345"/>
        </w:trPr>
        <w:tc>
          <w:tcPr>
            <w:tcW w:w="5958" w:type="dxa"/>
            <w:gridSpan w:val="3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6413F154" w14:textId="787FFBE8" w:rsidR="00B1117D" w:rsidRPr="00145C48" w:rsidRDefault="00B1117D" w:rsidP="00DC53E8">
            <w:pPr>
              <w:ind w:left="731" w:hanging="731"/>
              <w:rPr>
                <w:rFonts w:eastAsia="Times New Roman" w:cs="Arial"/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ab/>
              <w:t>Poursuivre l’évolution et la croissance des services du Service ontarien de la surdicécité</w:t>
            </w:r>
          </w:p>
          <w:p w14:paraId="6C1E02AC" w14:textId="77777777" w:rsidR="00B1117D" w:rsidRPr="00145C48" w:rsidRDefault="00B1117D" w:rsidP="00E02E1B">
            <w:pPr>
              <w:pStyle w:val="ListParagraph"/>
              <w:ind w:left="1632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 w:val="restart"/>
            <w:shd w:val="clear" w:color="auto" w:fill="FFFFFF" w:themeFill="background1"/>
            <w:vAlign w:val="center"/>
          </w:tcPr>
          <w:p w14:paraId="5659748C" w14:textId="77777777" w:rsidR="00B1117D" w:rsidRDefault="00B1117D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à la clientèle</w:t>
            </w:r>
          </w:p>
          <w:p w14:paraId="40D906A3" w14:textId="77777777" w:rsidR="00B1117D" w:rsidRPr="008B6A79" w:rsidRDefault="00B1117D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Finances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0E064A5" w14:textId="77777777" w:rsidR="00B1117D" w:rsidRPr="00145C48" w:rsidRDefault="00B1117D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vMerge w:val="restart"/>
            <w:shd w:val="clear" w:color="auto" w:fill="92D050"/>
            <w:vAlign w:val="center"/>
          </w:tcPr>
          <w:p w14:paraId="1B81E815" w14:textId="7F131F82" w:rsidR="00B1117D" w:rsidRPr="00145C48" w:rsidRDefault="00B1117D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61B134CF" w14:textId="7D59478C" w:rsidR="00B1117D" w:rsidRPr="00D15DD6" w:rsidRDefault="00B1117D" w:rsidP="00E02E1B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078" w:type="dxa"/>
            <w:gridSpan w:val="2"/>
            <w:vMerge w:val="restart"/>
            <w:shd w:val="clear" w:color="auto" w:fill="auto"/>
          </w:tcPr>
          <w:p w14:paraId="6643D877" w14:textId="77777777" w:rsidR="00B1117D" w:rsidRPr="008B6A79" w:rsidRDefault="00B1117D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D44351" w14:textId="77777777" w:rsidR="00B1117D" w:rsidRPr="008B6A79" w:rsidRDefault="00B1117D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B1117D" w:rsidRPr="008B6A79" w14:paraId="2678AA52" w14:textId="77777777" w:rsidTr="00B1117D">
        <w:trPr>
          <w:gridAfter w:val="1"/>
          <w:wAfter w:w="10" w:type="dxa"/>
          <w:trHeight w:val="345"/>
        </w:trPr>
        <w:tc>
          <w:tcPr>
            <w:tcW w:w="5958" w:type="dxa"/>
            <w:gridSpan w:val="3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2B9F394C" w14:textId="77777777" w:rsidR="00B1117D" w:rsidRDefault="00B1117D" w:rsidP="00DC53E8">
            <w:pPr>
              <w:ind w:left="731" w:hanging="731"/>
              <w:rPr>
                <w:sz w:val="20"/>
              </w:rPr>
            </w:pPr>
          </w:p>
        </w:tc>
        <w:tc>
          <w:tcPr>
            <w:tcW w:w="2340" w:type="dxa"/>
            <w:gridSpan w:val="3"/>
            <w:vMerge/>
            <w:shd w:val="clear" w:color="auto" w:fill="FFFFFF" w:themeFill="background1"/>
            <w:vAlign w:val="center"/>
          </w:tcPr>
          <w:p w14:paraId="1665D5C1" w14:textId="77777777" w:rsidR="00B1117D" w:rsidRDefault="00B1117D" w:rsidP="00201A6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BC608FB" w14:textId="77777777" w:rsidR="00B1117D" w:rsidRDefault="00B1117D" w:rsidP="00145C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shd w:val="clear" w:color="auto" w:fill="92D050"/>
            <w:vAlign w:val="center"/>
          </w:tcPr>
          <w:p w14:paraId="5753640B" w14:textId="77777777" w:rsidR="00B1117D" w:rsidRDefault="00B1117D" w:rsidP="00145C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FFFF00"/>
            <w:vAlign w:val="center"/>
          </w:tcPr>
          <w:p w14:paraId="3531D230" w14:textId="651AC3D0" w:rsidR="00B1117D" w:rsidRPr="00D15DD6" w:rsidRDefault="00B1117D" w:rsidP="00E02E1B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078" w:type="dxa"/>
            <w:gridSpan w:val="2"/>
            <w:vMerge/>
            <w:shd w:val="clear" w:color="auto" w:fill="auto"/>
          </w:tcPr>
          <w:p w14:paraId="53594D42" w14:textId="77777777" w:rsidR="00B1117D" w:rsidRPr="008B6A79" w:rsidRDefault="00B1117D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F5C44E" w14:textId="77777777" w:rsidR="00B1117D" w:rsidRPr="008B6A79" w:rsidRDefault="00B1117D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E02E1B" w:rsidRPr="008B6A79" w14:paraId="3268AF90" w14:textId="77777777" w:rsidTr="00B1117D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2E5F74CA" w14:textId="77777777" w:rsidR="00E02E1B" w:rsidRPr="00145C48" w:rsidRDefault="00E02E1B" w:rsidP="00DC53E8">
            <w:pPr>
              <w:ind w:left="731" w:hanging="731"/>
              <w:rPr>
                <w:rFonts w:eastAsia="Times New Roman" w:cs="Arial"/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ab/>
              <w:t>Examiner la gouvernance du Service ontarien de la surdicécité</w:t>
            </w:r>
          </w:p>
          <w:p w14:paraId="1F102B66" w14:textId="77777777" w:rsidR="00E02E1B" w:rsidRPr="00145C48" w:rsidRDefault="00E02E1B" w:rsidP="00E02E1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4A5D9C81" w14:textId="77777777" w:rsidR="00E02E1B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Gouvernance/Sous-comité d’examen de la gouvernance</w:t>
            </w:r>
          </w:p>
          <w:p w14:paraId="0449E067" w14:textId="77777777" w:rsidR="00201A6C" w:rsidRPr="008B6A79" w:rsidRDefault="00201A6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32733C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277B97E5" w14:textId="77777777" w:rsidR="00E02E1B" w:rsidRPr="00145C48" w:rsidRDefault="00201A6C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4B7EF087" w14:textId="2F82B90D" w:rsidR="00E02E1B" w:rsidRPr="00D15DD6" w:rsidRDefault="00B1117D" w:rsidP="00E02E1B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5FDE37B1" w14:textId="77777777" w:rsidR="00E02E1B" w:rsidRPr="008B6A79" w:rsidRDefault="00E02E1B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0B7A88" w14:textId="77777777" w:rsidR="00E02E1B" w:rsidRPr="008B6A79" w:rsidRDefault="00E02E1B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E02E1B" w:rsidRPr="008B6A79" w14:paraId="0ECAA7F0" w14:textId="77777777" w:rsidTr="00B1117D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75240066" w14:textId="77777777" w:rsidR="00E02E1B" w:rsidRPr="00145C48" w:rsidRDefault="00E02E1B" w:rsidP="00E02E1B">
            <w:pPr>
              <w:ind w:left="720" w:hanging="720"/>
              <w:rPr>
                <w:rFonts w:eastAsia="Times New Roman" w:cs="Arial"/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  <w:t>Être le fournisseur de services d’intervention de choix pour l’Ontario</w:t>
            </w:r>
          </w:p>
          <w:p w14:paraId="01304823" w14:textId="77777777" w:rsidR="00E02E1B" w:rsidRPr="00145C48" w:rsidRDefault="00E02E1B" w:rsidP="00E02E1B">
            <w:pPr>
              <w:pStyle w:val="ListParagraph"/>
              <w:ind w:left="1632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344C1C97" w14:textId="77777777" w:rsidR="00E02E1B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à la clientèle</w:t>
            </w:r>
          </w:p>
          <w:p w14:paraId="66F19755" w14:textId="77777777" w:rsidR="00E02E1B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 gouvernementales</w:t>
            </w:r>
          </w:p>
          <w:p w14:paraId="5D479259" w14:textId="77777777" w:rsidR="00201A6C" w:rsidRPr="008B6A79" w:rsidRDefault="00201A6C" w:rsidP="00201A6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C6493C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5AF441A9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6787D971" w14:textId="30DC76DD" w:rsidR="00E02E1B" w:rsidRPr="00D15DD6" w:rsidRDefault="00B1117D" w:rsidP="00E02E1B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61ADB737" w14:textId="77777777" w:rsidR="00E02E1B" w:rsidRPr="008B6A79" w:rsidRDefault="00E02E1B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5A99C9" w14:textId="77777777" w:rsidR="00E02E1B" w:rsidRPr="008B6A79" w:rsidRDefault="00E02E1B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E02E1B" w:rsidRPr="008B6A79" w14:paraId="6BCFDD20" w14:textId="77777777" w:rsidTr="00B1117D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0F995597" w14:textId="77777777" w:rsidR="00E02E1B" w:rsidRPr="00145C48" w:rsidRDefault="00E02E1B" w:rsidP="00E02E1B">
            <w:pPr>
              <w:ind w:left="720" w:hanging="720"/>
              <w:rPr>
                <w:rFonts w:eastAsia="Times New Roman" w:cs="Arial"/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</w:rPr>
              <w:tab/>
              <w:t>Explorer l’élaboration d’une stratégie pour le Nord de l’Ontario afin d’appuyer et de servir les Ontariens et les Ontariennes qui vivent avec la surdicécité</w:t>
            </w:r>
          </w:p>
          <w:p w14:paraId="08754C90" w14:textId="77777777" w:rsidR="00E02E1B" w:rsidRPr="00145C48" w:rsidRDefault="00E02E1B" w:rsidP="00E02E1B">
            <w:pPr>
              <w:pStyle w:val="ListParagraph"/>
              <w:ind w:left="1632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1706E776" w14:textId="77777777" w:rsidR="00E02E1B" w:rsidRPr="008B6A79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à la clientèle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EA67B7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shd w:val="clear" w:color="auto" w:fill="FFFF00"/>
            <w:vAlign w:val="center"/>
          </w:tcPr>
          <w:p w14:paraId="0199CD1F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shd w:val="clear" w:color="auto" w:fill="FFFF00"/>
            <w:vAlign w:val="center"/>
          </w:tcPr>
          <w:p w14:paraId="045ED8A3" w14:textId="14C8C20C" w:rsidR="00E02E1B" w:rsidRPr="00D15DD6" w:rsidRDefault="00B1117D" w:rsidP="00E02E1B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45A9856F" w14:textId="77777777" w:rsidR="00E02E1B" w:rsidRPr="008B6A79" w:rsidRDefault="00E02E1B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1370DCB6" w14:textId="77777777" w:rsidR="00E02E1B" w:rsidRPr="008B6A79" w:rsidRDefault="00E02E1B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E02E1B" w:rsidRPr="008B6A79" w14:paraId="196DBA05" w14:textId="77777777" w:rsidTr="00B1117D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2062F882" w14:textId="77777777" w:rsidR="00E02E1B" w:rsidRPr="00145C48" w:rsidRDefault="00E02E1B" w:rsidP="00201A6C">
            <w:pPr>
              <w:ind w:left="720" w:hanging="720"/>
              <w:rPr>
                <w:rFonts w:eastAsia="Times New Roman" w:cs="Arial"/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ab/>
              <w:t xml:space="preserve">Continuer à jouer un rôle de chef de file dans l’élaboration et la mise en œuvre d’une certification pour </w:t>
            </w:r>
            <w:r>
              <w:rPr>
                <w:sz w:val="20"/>
              </w:rPr>
              <w:lastRenderedPageBreak/>
              <w:t>les agences et les organismes qui soutiennent les personnes atteintes de surdicécité</w:t>
            </w: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0FE44BA7" w14:textId="77777777" w:rsidR="00E02E1B" w:rsidRPr="008B6A79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36F087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gridSpan w:val="2"/>
            <w:shd w:val="clear" w:color="auto" w:fill="000000" w:themeFill="text1"/>
            <w:vAlign w:val="center"/>
          </w:tcPr>
          <w:p w14:paraId="0AB640FD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000000" w:themeFill="text1"/>
            <w:vAlign w:val="center"/>
          </w:tcPr>
          <w:p w14:paraId="0CE7EA80" w14:textId="77777777" w:rsidR="00E02E1B" w:rsidRPr="00D15DD6" w:rsidRDefault="00E02E1B" w:rsidP="00E02E1B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381BFA01" w14:textId="77777777" w:rsidR="00E02E1B" w:rsidRPr="008B6A79" w:rsidRDefault="00E02E1B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2452D979" w14:textId="77777777" w:rsidR="00E02E1B" w:rsidRPr="008B6A79" w:rsidRDefault="00E02E1B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E02E1B" w:rsidRPr="008B6A79" w14:paraId="357797C3" w14:textId="77777777" w:rsidTr="00B1117D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21861B19" w14:textId="77777777" w:rsidR="00E02E1B" w:rsidRPr="00145C48" w:rsidRDefault="00E02E1B" w:rsidP="00E02E1B">
            <w:pPr>
              <w:ind w:left="720" w:hanging="720"/>
              <w:rPr>
                <w:rFonts w:eastAsia="Times New Roman" w:cs="Arial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Poursuivre l’élaboration et la mise en œuvre d’une stratégie de relations gouvernementales</w:t>
            </w:r>
          </w:p>
          <w:p w14:paraId="30CA5A49" w14:textId="77777777" w:rsidR="00E02E1B" w:rsidRPr="00DC53E8" w:rsidRDefault="00E02E1B" w:rsidP="00E02E1B">
            <w:pPr>
              <w:ind w:left="720" w:hanging="720"/>
              <w:rPr>
                <w:rFonts w:eastAsia="Times New Roman" w:cs="Arial"/>
                <w:sz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5DF671F1" w14:textId="77777777" w:rsidR="00E02E1B" w:rsidRPr="008B6A79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 gouvernementales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7E1912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4A949E4E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4289FD36" w14:textId="6FAC930B" w:rsidR="00E02E1B" w:rsidRPr="00D15DD6" w:rsidRDefault="00B1117D" w:rsidP="00E02E1B">
            <w:pPr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42C3E984" w14:textId="77777777" w:rsidR="00E02E1B" w:rsidRPr="008B6A79" w:rsidRDefault="00E02E1B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70E2522E" w14:textId="77777777" w:rsidR="00E02E1B" w:rsidRPr="008B6A79" w:rsidRDefault="00E02E1B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B1117D" w:rsidRPr="008B6A79" w14:paraId="0F668994" w14:textId="77777777" w:rsidTr="00B1117D">
        <w:trPr>
          <w:gridAfter w:val="1"/>
          <w:wAfter w:w="10" w:type="dxa"/>
          <w:trHeight w:val="766"/>
        </w:trPr>
        <w:tc>
          <w:tcPr>
            <w:tcW w:w="595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4805E0CB" w14:textId="77777777" w:rsidR="00B1117D" w:rsidRPr="00145C48" w:rsidRDefault="00B1117D" w:rsidP="00E02E1B">
            <w:pPr>
              <w:ind w:left="720" w:hanging="720"/>
              <w:rPr>
                <w:rFonts w:eastAsia="Times New Roman" w:cs="Arial"/>
                <w:sz w:val="20"/>
              </w:rPr>
            </w:pPr>
            <w:proofErr w:type="gramStart"/>
            <w:r>
              <w:rPr>
                <w:sz w:val="20"/>
              </w:rPr>
              <w:t>j</w:t>
            </w:r>
            <w:proofErr w:type="gramEnd"/>
            <w:r>
              <w:rPr>
                <w:sz w:val="20"/>
              </w:rPr>
              <w:tab/>
              <w:t>Poursuivre l’élaboration et la mise en œuvre d’une stratégie de communication et d’engagement</w:t>
            </w:r>
          </w:p>
          <w:p w14:paraId="248D9421" w14:textId="77777777" w:rsidR="00B1117D" w:rsidRPr="00DC53E8" w:rsidRDefault="00B1117D" w:rsidP="00E02E1B">
            <w:pPr>
              <w:ind w:left="720" w:hanging="720"/>
              <w:rPr>
                <w:rFonts w:eastAsia="Times New Roman" w:cs="Arial"/>
                <w:sz w:val="20"/>
              </w:rPr>
            </w:pPr>
          </w:p>
        </w:tc>
        <w:tc>
          <w:tcPr>
            <w:tcW w:w="2340" w:type="dxa"/>
            <w:gridSpan w:val="3"/>
            <w:shd w:val="clear" w:color="auto" w:fill="FFFFFF" w:themeFill="background1"/>
            <w:vAlign w:val="center"/>
          </w:tcPr>
          <w:p w14:paraId="66787B4C" w14:textId="77777777" w:rsidR="00B1117D" w:rsidRPr="008B6A79" w:rsidRDefault="00B1117D" w:rsidP="00201A6C">
            <w:pPr>
              <w:ind w:left="-114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 gouvernementales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1EED20" w14:textId="77777777" w:rsidR="00B1117D" w:rsidRPr="00145C48" w:rsidRDefault="00B1117D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gridSpan w:val="2"/>
            <w:shd w:val="clear" w:color="auto" w:fill="92D050"/>
            <w:vAlign w:val="center"/>
          </w:tcPr>
          <w:p w14:paraId="387BA849" w14:textId="15BA2C05" w:rsidR="00B1117D" w:rsidRPr="00145C48" w:rsidRDefault="00B1117D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shd w:val="clear" w:color="auto" w:fill="92D050"/>
            <w:vAlign w:val="center"/>
          </w:tcPr>
          <w:p w14:paraId="7AF3D32E" w14:textId="77777777" w:rsidR="00B1117D" w:rsidRPr="00D15DD6" w:rsidRDefault="00B1117D" w:rsidP="00E02E1B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14:paraId="76F983AB" w14:textId="77777777" w:rsidR="00B1117D" w:rsidRPr="008B6A79" w:rsidRDefault="00B1117D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5D3D2FFB" w14:textId="77777777" w:rsidR="00B1117D" w:rsidRPr="008B6A79" w:rsidRDefault="00B1117D" w:rsidP="00E02E1B">
            <w:pPr>
              <w:jc w:val="center"/>
              <w:rPr>
                <w:sz w:val="20"/>
                <w:szCs w:val="20"/>
              </w:rPr>
            </w:pPr>
          </w:p>
        </w:tc>
      </w:tr>
      <w:tr w:rsidR="00E02E1B" w:rsidRPr="008B6A79" w14:paraId="7C1E1DD8" w14:textId="77777777" w:rsidTr="00B1117D">
        <w:trPr>
          <w:gridAfter w:val="1"/>
          <w:wAfter w:w="10" w:type="dxa"/>
        </w:trPr>
        <w:tc>
          <w:tcPr>
            <w:tcW w:w="595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1D33F10" w14:textId="77777777" w:rsidR="00E02E1B" w:rsidRPr="00145C48" w:rsidRDefault="00E02E1B" w:rsidP="00E02E1B">
            <w:pPr>
              <w:ind w:left="720" w:hanging="720"/>
              <w:rPr>
                <w:rFonts w:eastAsia="Times New Roman" w:cs="Arial"/>
                <w:sz w:val="20"/>
              </w:rPr>
            </w:pPr>
            <w:bookmarkStart w:id="0" w:name="_GoBack" w:colFirst="3" w:colLast="4"/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ab/>
              <w:t>Optimiser les avantages de l’utilisation de la technologie</w:t>
            </w:r>
          </w:p>
          <w:p w14:paraId="2026EFED" w14:textId="77777777" w:rsidR="00E02E1B" w:rsidRPr="00DC53E8" w:rsidRDefault="00E02E1B" w:rsidP="00E02E1B">
            <w:pPr>
              <w:pStyle w:val="ListParagraph"/>
              <w:ind w:left="1632"/>
              <w:rPr>
                <w:rFonts w:eastAsia="Times New Roman" w:cs="Arial"/>
                <w:sz w:val="20"/>
              </w:rPr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CF29E6" w14:textId="77777777" w:rsidR="00E02E1B" w:rsidRPr="008B6A79" w:rsidRDefault="00E02E1B" w:rsidP="00201A6C">
            <w:pPr>
              <w:ind w:left="-114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871C04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84ABFE3" w14:textId="77777777" w:rsidR="00E02E1B" w:rsidRPr="00145C48" w:rsidRDefault="00E02E1B" w:rsidP="00145C4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6B039D0" w14:textId="77777777" w:rsidR="00E02E1B" w:rsidRPr="00D15DD6" w:rsidRDefault="00E02E1B" w:rsidP="00E02E1B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  <w:tc>
          <w:tcPr>
            <w:tcW w:w="107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1A6ABF1" w14:textId="77777777" w:rsidR="00E02E1B" w:rsidRPr="008B6A79" w:rsidRDefault="00E02E1B" w:rsidP="00E02E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F0C0E" w14:textId="77777777" w:rsidR="00E02E1B" w:rsidRPr="008B6A79" w:rsidRDefault="00E02E1B" w:rsidP="00E02E1B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53D6AD19" w14:textId="0F77BA28" w:rsidR="00A64BA6" w:rsidRDefault="00A64BA6" w:rsidP="00DC53E8">
      <w:pPr>
        <w:rPr>
          <w:sz w:val="18"/>
          <w:szCs w:val="20"/>
        </w:rPr>
      </w:pPr>
    </w:p>
    <w:sectPr w:rsidR="00A64BA6" w:rsidSect="00DC571A">
      <w:headerReference w:type="default" r:id="rId11"/>
      <w:pgSz w:w="15840" w:h="12240" w:orient="landscape" w:code="1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5A09A" w14:textId="77777777" w:rsidR="00A62115" w:rsidRDefault="00A62115" w:rsidP="00BD74A8">
      <w:r>
        <w:separator/>
      </w:r>
    </w:p>
  </w:endnote>
  <w:endnote w:type="continuationSeparator" w:id="0">
    <w:p w14:paraId="35DBB733" w14:textId="77777777" w:rsidR="00A62115" w:rsidRDefault="00A62115" w:rsidP="00BD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E43A" w14:textId="77777777" w:rsidR="00A62115" w:rsidRDefault="00A62115" w:rsidP="00BD74A8">
      <w:r>
        <w:separator/>
      </w:r>
    </w:p>
  </w:footnote>
  <w:footnote w:type="continuationSeparator" w:id="0">
    <w:p w14:paraId="2578768D" w14:textId="77777777" w:rsidR="00A62115" w:rsidRDefault="00A62115" w:rsidP="00BD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0335" w14:textId="77777777" w:rsidR="00196ECF" w:rsidRDefault="00145C48" w:rsidP="00196ECF">
    <w:pPr>
      <w:rPr>
        <w:rFonts w:cs="Arial"/>
        <w:sz w:val="22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90B27AB" wp14:editId="309B6AFE">
          <wp:simplePos x="0" y="0"/>
          <wp:positionH relativeFrom="column">
            <wp:posOffset>172107</wp:posOffset>
          </wp:positionH>
          <wp:positionV relativeFrom="paragraph">
            <wp:posOffset>-93168</wp:posOffset>
          </wp:positionV>
          <wp:extent cx="944880" cy="991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OS_Logo_4c_transparent smal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91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EED292C" wp14:editId="4B516A28">
              <wp:simplePos x="0" y="0"/>
              <wp:positionH relativeFrom="column">
                <wp:posOffset>1372870</wp:posOffset>
              </wp:positionH>
              <wp:positionV relativeFrom="paragraph">
                <wp:posOffset>-236855</wp:posOffset>
              </wp:positionV>
              <wp:extent cx="7703820" cy="1363980"/>
              <wp:effectExtent l="0" t="0" r="1143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3820" cy="1363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24CF6" w14:textId="77777777" w:rsidR="00145C48" w:rsidRDefault="00196ECF" w:rsidP="00196ECF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Ensemble, nous prospérons</w:t>
                          </w:r>
                          <w:r>
                            <w:rPr>
                              <w:b/>
                              <w:sz w:val="32"/>
                            </w:rPr>
                            <w:tab/>
                          </w:r>
                        </w:p>
                        <w:p w14:paraId="0F2F3756" w14:textId="77777777" w:rsidR="00145C48" w:rsidRPr="00145C48" w:rsidRDefault="00196ECF" w:rsidP="00196ECF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 xml:space="preserve">Rapport de planification stratégique 2019-2022 </w:t>
                          </w:r>
                        </w:p>
                        <w:p w14:paraId="216A9A0A" w14:textId="409350DC" w:rsidR="00196ECF" w:rsidRPr="00145C48" w:rsidRDefault="00145C48" w:rsidP="00196ECF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Exercice </w:t>
                          </w:r>
                          <w:r w:rsidR="00B1117D">
                            <w:rPr>
                              <w:sz w:val="22"/>
                            </w:rPr>
                            <w:t>2020-2021</w:t>
                          </w:r>
                          <w:r>
                            <w:rPr>
                              <w:sz w:val="22"/>
                            </w:rPr>
                            <w:t> : Du 1</w:t>
                          </w:r>
                          <w:r>
                            <w:rPr>
                              <w:sz w:val="22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sz w:val="22"/>
                            </w:rPr>
                            <w:t xml:space="preserve"> avril </w:t>
                          </w:r>
                          <w:r w:rsidR="00B1117D">
                            <w:rPr>
                              <w:sz w:val="22"/>
                            </w:rPr>
                            <w:t>2020</w:t>
                          </w:r>
                          <w:r>
                            <w:rPr>
                              <w:sz w:val="22"/>
                            </w:rPr>
                            <w:t xml:space="preserve"> au 30 septembre 20</w:t>
                          </w:r>
                          <w:r w:rsidR="00B1117D">
                            <w:rPr>
                              <w:sz w:val="22"/>
                            </w:rPr>
                            <w:t>20</w:t>
                          </w:r>
                        </w:p>
                        <w:p w14:paraId="11A4232A" w14:textId="77777777" w:rsidR="00196ECF" w:rsidRPr="00145C48" w:rsidRDefault="00196ECF" w:rsidP="00196ECF">
                          <w:pPr>
                            <w:rPr>
                              <w:rFonts w:cs="Arial"/>
                              <w:b/>
                              <w:sz w:val="20"/>
                            </w:rPr>
                          </w:pPr>
                        </w:p>
                        <w:p w14:paraId="60E5B834" w14:textId="77777777" w:rsidR="00196ECF" w:rsidRPr="00145C48" w:rsidRDefault="00196ECF" w:rsidP="00196ECF">
                          <w:pPr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Appliquer continuellement nos principes stratégiques </w:t>
                          </w:r>
                        </w:p>
                        <w:p w14:paraId="67D89AB3" w14:textId="77777777" w:rsidR="00196ECF" w:rsidRPr="00145C48" w:rsidRDefault="00196ECF" w:rsidP="00196ECF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Service exceptionnel,</w:t>
                          </w:r>
                        </w:p>
                        <w:p w14:paraId="7BB3AFDF" w14:textId="77777777" w:rsidR="00196ECF" w:rsidRPr="00145C48" w:rsidRDefault="00196ECF" w:rsidP="00196ECF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Personnel impliqué </w:t>
                          </w:r>
                        </w:p>
                        <w:p w14:paraId="376EFEF7" w14:textId="77777777" w:rsidR="00196ECF" w:rsidRPr="00145C48" w:rsidRDefault="00196ECF" w:rsidP="00196ECF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cs="Arial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Collaboration enrichie </w:t>
                          </w:r>
                        </w:p>
                        <w:p w14:paraId="3838146F" w14:textId="77777777" w:rsidR="00196ECF" w:rsidRDefault="00196ECF" w:rsidP="00196ECF"/>
                        <w:p w14:paraId="5A74C3D5" w14:textId="77777777" w:rsidR="00196ECF" w:rsidRDefault="00196ECF" w:rsidP="00196ECF"/>
                        <w:p w14:paraId="4C89B698" w14:textId="77777777" w:rsidR="00196ECF" w:rsidRDefault="00196ECF" w:rsidP="00196E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D2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1pt;margin-top:-18.65pt;width:606.6pt;height:10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">
              <v:textbox>
                <w:txbxContent>
                  <w:p w14:paraId="0D624CF6" w14:textId="77777777" w:rsidR="00145C48" w:rsidRDefault="00196ECF" w:rsidP="00196ECF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Ensemble, nous prospérons</w:t>
                    </w:r>
                    <w:r>
                      <w:rPr>
                        <w:b/>
                        <w:sz w:val="32"/>
                      </w:rPr>
                      <w:tab/>
                    </w:r>
                  </w:p>
                  <w:p w14:paraId="0F2F3756" w14:textId="77777777" w:rsidR="00145C48" w:rsidRPr="00145C48" w:rsidRDefault="00196ECF" w:rsidP="00196ECF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Rapport de planification stratégique 2019-2022 </w:t>
                    </w:r>
                  </w:p>
                  <w:p w14:paraId="216A9A0A" w14:textId="409350DC" w:rsidR="00196ECF" w:rsidRPr="00145C48" w:rsidRDefault="00145C48" w:rsidP="00196ECF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Exercice </w:t>
                    </w:r>
                    <w:r w:rsidR="00B1117D">
                      <w:rPr>
                        <w:sz w:val="22"/>
                      </w:rPr>
                      <w:t>2020-2021</w:t>
                    </w:r>
                    <w:r>
                      <w:rPr>
                        <w:sz w:val="22"/>
                      </w:rPr>
                      <w:t> : Du 1</w:t>
                    </w:r>
                    <w:r>
                      <w:rPr>
                        <w:sz w:val="22"/>
                        <w:vertAlign w:val="superscript"/>
                      </w:rPr>
                      <w:t>er</w:t>
                    </w:r>
                    <w:r>
                      <w:rPr>
                        <w:sz w:val="22"/>
                      </w:rPr>
                      <w:t xml:space="preserve"> avril </w:t>
                    </w:r>
                    <w:r w:rsidR="00B1117D">
                      <w:rPr>
                        <w:sz w:val="22"/>
                      </w:rPr>
                      <w:t>2020</w:t>
                    </w:r>
                    <w:r>
                      <w:rPr>
                        <w:sz w:val="22"/>
                      </w:rPr>
                      <w:t xml:space="preserve"> au 30 septembre 20</w:t>
                    </w:r>
                    <w:r w:rsidR="00B1117D">
                      <w:rPr>
                        <w:sz w:val="22"/>
                      </w:rPr>
                      <w:t>20</w:t>
                    </w:r>
                  </w:p>
                  <w:p w14:paraId="11A4232A" w14:textId="77777777" w:rsidR="00196ECF" w:rsidRPr="00145C48" w:rsidRDefault="00196ECF" w:rsidP="00196ECF">
                    <w:pPr>
                      <w:rPr>
                        <w:rFonts w:cs="Arial"/>
                        <w:b/>
                        <w:sz w:val="20"/>
                      </w:rPr>
                    </w:pPr>
                  </w:p>
                  <w:p w14:paraId="60E5B834" w14:textId="77777777" w:rsidR="00196ECF" w:rsidRPr="00145C48" w:rsidRDefault="00196ECF" w:rsidP="00196ECF">
                    <w:pPr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Appliquer continuellement nos principes stratégiques </w:t>
                    </w:r>
                  </w:p>
                  <w:p w14:paraId="67D89AB3" w14:textId="77777777" w:rsidR="00196ECF" w:rsidRPr="00145C48" w:rsidRDefault="00196ECF" w:rsidP="00196ECF">
                    <w:pPr>
                      <w:numPr>
                        <w:ilvl w:val="0"/>
                        <w:numId w:val="1"/>
                      </w:numPr>
                      <w:rPr>
                        <w:rFonts w:cs="Arial"/>
                        <w:sz w:val="20"/>
                      </w:rPr>
                    </w:pPr>
                    <w:r>
                      <w:rPr>
                        <w:sz w:val="20"/>
                      </w:rPr>
                      <w:t>Service exceptionnel,</w:t>
                    </w:r>
                  </w:p>
                  <w:p w14:paraId="7BB3AFDF" w14:textId="77777777" w:rsidR="00196ECF" w:rsidRPr="00145C48" w:rsidRDefault="00196ECF" w:rsidP="00196ECF">
                    <w:pPr>
                      <w:numPr>
                        <w:ilvl w:val="0"/>
                        <w:numId w:val="1"/>
                      </w:numPr>
                      <w:rPr>
                        <w:rFonts w:cs="Arial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Personnel impliqué </w:t>
                    </w:r>
                  </w:p>
                  <w:p w14:paraId="376EFEF7" w14:textId="77777777" w:rsidR="00196ECF" w:rsidRPr="00145C48" w:rsidRDefault="00196ECF" w:rsidP="00196ECF">
                    <w:pPr>
                      <w:numPr>
                        <w:ilvl w:val="0"/>
                        <w:numId w:val="1"/>
                      </w:numPr>
                      <w:rPr>
                        <w:rFonts w:cs="Arial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Collaboration enrichie </w:t>
                    </w:r>
                  </w:p>
                  <w:p w14:paraId="3838146F" w14:textId="77777777" w:rsidR="00196ECF" w:rsidRDefault="00196ECF" w:rsidP="00196ECF"/>
                  <w:p w14:paraId="5A74C3D5" w14:textId="77777777" w:rsidR="00196ECF" w:rsidRDefault="00196ECF" w:rsidP="00196ECF"/>
                  <w:p w14:paraId="4C89B698" w14:textId="77777777" w:rsidR="00196ECF" w:rsidRDefault="00196ECF" w:rsidP="00196ECF"/>
                </w:txbxContent>
              </v:textbox>
              <w10:wrap type="square"/>
            </v:shape>
          </w:pict>
        </mc:Fallback>
      </mc:AlternateContent>
    </w:r>
    <w:r>
      <w:rPr>
        <w:sz w:val="22"/>
      </w:rPr>
      <w:t xml:space="preserve"> </w:t>
    </w:r>
  </w:p>
  <w:p w14:paraId="6CEBE0AB" w14:textId="77777777" w:rsidR="00BD74A8" w:rsidRDefault="00BD74A8" w:rsidP="00ED39F4">
    <w:pPr>
      <w:pStyle w:val="Header"/>
    </w:pPr>
  </w:p>
  <w:p w14:paraId="3016E6D9" w14:textId="77777777" w:rsidR="003369E0" w:rsidRPr="003369E0" w:rsidRDefault="003369E0" w:rsidP="008B6A79">
    <w:pPr>
      <w:pStyle w:val="Header"/>
      <w:jc w:val="center"/>
      <w:rPr>
        <w:sz w:val="4"/>
      </w:rPr>
    </w:pPr>
  </w:p>
  <w:p w14:paraId="79A2EDDE" w14:textId="77777777" w:rsidR="003369E0" w:rsidRDefault="003369E0" w:rsidP="008B6A79">
    <w:pPr>
      <w:pStyle w:val="Header"/>
      <w:jc w:val="center"/>
    </w:pPr>
  </w:p>
  <w:p w14:paraId="7A8C5215" w14:textId="77777777" w:rsidR="00196ECF" w:rsidRDefault="00196ECF" w:rsidP="008B6A79">
    <w:pPr>
      <w:pStyle w:val="Header"/>
      <w:jc w:val="center"/>
    </w:pPr>
  </w:p>
  <w:p w14:paraId="7435FA51" w14:textId="77777777" w:rsidR="00196ECF" w:rsidRDefault="00196ECF" w:rsidP="008B6A79">
    <w:pPr>
      <w:pStyle w:val="Header"/>
      <w:jc w:val="center"/>
    </w:pPr>
  </w:p>
  <w:p w14:paraId="55D0FE05" w14:textId="77777777" w:rsidR="00196ECF" w:rsidRDefault="00196ECF" w:rsidP="008B6A79">
    <w:pPr>
      <w:pStyle w:val="Header"/>
      <w:jc w:val="center"/>
    </w:pPr>
  </w:p>
  <w:p w14:paraId="4DADE4C0" w14:textId="77777777" w:rsidR="00196ECF" w:rsidRDefault="00196ECF" w:rsidP="008B6A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3ECB"/>
    <w:multiLevelType w:val="hybridMultilevel"/>
    <w:tmpl w:val="6EECC030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7C6A44EA"/>
    <w:multiLevelType w:val="hybridMultilevel"/>
    <w:tmpl w:val="4A588E98"/>
    <w:lvl w:ilvl="0" w:tplc="10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4D"/>
    <w:rsid w:val="00016197"/>
    <w:rsid w:val="00026EA5"/>
    <w:rsid w:val="00060BE1"/>
    <w:rsid w:val="00092ACD"/>
    <w:rsid w:val="00093132"/>
    <w:rsid w:val="000F45D2"/>
    <w:rsid w:val="001230CA"/>
    <w:rsid w:val="001242C4"/>
    <w:rsid w:val="00145C48"/>
    <w:rsid w:val="001466A2"/>
    <w:rsid w:val="00166685"/>
    <w:rsid w:val="0019677D"/>
    <w:rsid w:val="00196ECF"/>
    <w:rsid w:val="001A436F"/>
    <w:rsid w:val="001B4858"/>
    <w:rsid w:val="001B4E78"/>
    <w:rsid w:val="00201A6C"/>
    <w:rsid w:val="00277435"/>
    <w:rsid w:val="002816B9"/>
    <w:rsid w:val="002831F4"/>
    <w:rsid w:val="0028467C"/>
    <w:rsid w:val="002C7D4D"/>
    <w:rsid w:val="00320257"/>
    <w:rsid w:val="003369E0"/>
    <w:rsid w:val="003B1031"/>
    <w:rsid w:val="003C59D3"/>
    <w:rsid w:val="003E7731"/>
    <w:rsid w:val="00405486"/>
    <w:rsid w:val="00445EDB"/>
    <w:rsid w:val="004508B5"/>
    <w:rsid w:val="00481E03"/>
    <w:rsid w:val="004D4D57"/>
    <w:rsid w:val="004D7A6B"/>
    <w:rsid w:val="00507984"/>
    <w:rsid w:val="00550E75"/>
    <w:rsid w:val="0055615F"/>
    <w:rsid w:val="00571052"/>
    <w:rsid w:val="005B24ED"/>
    <w:rsid w:val="005C7187"/>
    <w:rsid w:val="005D77BB"/>
    <w:rsid w:val="0060152A"/>
    <w:rsid w:val="00637014"/>
    <w:rsid w:val="0065531F"/>
    <w:rsid w:val="006556EC"/>
    <w:rsid w:val="006649B9"/>
    <w:rsid w:val="006879B8"/>
    <w:rsid w:val="006B57DB"/>
    <w:rsid w:val="006E2076"/>
    <w:rsid w:val="00744A0D"/>
    <w:rsid w:val="007464C7"/>
    <w:rsid w:val="007774BD"/>
    <w:rsid w:val="0078735A"/>
    <w:rsid w:val="007F25CF"/>
    <w:rsid w:val="008A5EA5"/>
    <w:rsid w:val="008B6A79"/>
    <w:rsid w:val="008C172A"/>
    <w:rsid w:val="008C3FDC"/>
    <w:rsid w:val="008E7930"/>
    <w:rsid w:val="0090641D"/>
    <w:rsid w:val="00910C8A"/>
    <w:rsid w:val="009143C2"/>
    <w:rsid w:val="00971BE9"/>
    <w:rsid w:val="00980AD7"/>
    <w:rsid w:val="009A7D4D"/>
    <w:rsid w:val="009B7C36"/>
    <w:rsid w:val="009E4556"/>
    <w:rsid w:val="00A02B61"/>
    <w:rsid w:val="00A06D64"/>
    <w:rsid w:val="00A25A9F"/>
    <w:rsid w:val="00A25EE7"/>
    <w:rsid w:val="00A4324D"/>
    <w:rsid w:val="00A50720"/>
    <w:rsid w:val="00A62115"/>
    <w:rsid w:val="00A64BA6"/>
    <w:rsid w:val="00AA7C9C"/>
    <w:rsid w:val="00AC0F8D"/>
    <w:rsid w:val="00AC28BD"/>
    <w:rsid w:val="00AD63E4"/>
    <w:rsid w:val="00AE1247"/>
    <w:rsid w:val="00B00E4D"/>
    <w:rsid w:val="00B1117D"/>
    <w:rsid w:val="00B131C9"/>
    <w:rsid w:val="00B16680"/>
    <w:rsid w:val="00B95F43"/>
    <w:rsid w:val="00BB566D"/>
    <w:rsid w:val="00BD1D05"/>
    <w:rsid w:val="00BD74A8"/>
    <w:rsid w:val="00BF0EC8"/>
    <w:rsid w:val="00BF3C94"/>
    <w:rsid w:val="00C247C9"/>
    <w:rsid w:val="00C352CA"/>
    <w:rsid w:val="00C4310A"/>
    <w:rsid w:val="00C622DC"/>
    <w:rsid w:val="00C75D1F"/>
    <w:rsid w:val="00CE4666"/>
    <w:rsid w:val="00CE5109"/>
    <w:rsid w:val="00D026E5"/>
    <w:rsid w:val="00D13FEF"/>
    <w:rsid w:val="00D15DD6"/>
    <w:rsid w:val="00D43198"/>
    <w:rsid w:val="00D714BF"/>
    <w:rsid w:val="00DB106C"/>
    <w:rsid w:val="00DC53E8"/>
    <w:rsid w:val="00DC571A"/>
    <w:rsid w:val="00DE4F1F"/>
    <w:rsid w:val="00DF2CAA"/>
    <w:rsid w:val="00DF4D13"/>
    <w:rsid w:val="00E02E1B"/>
    <w:rsid w:val="00E30645"/>
    <w:rsid w:val="00E66E07"/>
    <w:rsid w:val="00E71701"/>
    <w:rsid w:val="00ED39F4"/>
    <w:rsid w:val="00EF6BDC"/>
    <w:rsid w:val="00F46F84"/>
    <w:rsid w:val="00F94850"/>
    <w:rsid w:val="00FB6EF3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AF824D"/>
  <w15:docId w15:val="{8BC75AB1-283E-4D94-B88C-1A15742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4A8"/>
  </w:style>
  <w:style w:type="paragraph" w:styleId="Footer">
    <w:name w:val="footer"/>
    <w:basedOn w:val="Normal"/>
    <w:link w:val="FooterChar"/>
    <w:uiPriority w:val="99"/>
    <w:unhideWhenUsed/>
    <w:rsid w:val="00BD7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4A8"/>
  </w:style>
  <w:style w:type="paragraph" w:styleId="BalloonText">
    <w:name w:val="Balloon Text"/>
    <w:basedOn w:val="Normal"/>
    <w:link w:val="BalloonTextChar"/>
    <w:uiPriority w:val="99"/>
    <w:semiHidden/>
    <w:unhideWhenUsed/>
    <w:rsid w:val="00BD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D597DD51B864697956C2C64B3D5DB" ma:contentTypeVersion="13" ma:contentTypeDescription="Create a new document." ma:contentTypeScope="" ma:versionID="e936ff832c1c4676953c42c2e6acb608">
  <xsd:schema xmlns:xsd="http://www.w3.org/2001/XMLSchema" xmlns:xs="http://www.w3.org/2001/XMLSchema" xmlns:p="http://schemas.microsoft.com/office/2006/metadata/properties" xmlns:ns3="5fc4c768-f09e-4d0c-ab5c-c80f80787105" xmlns:ns4="bdda86be-e44b-42fd-bcdd-4318358412ff" targetNamespace="http://schemas.microsoft.com/office/2006/metadata/properties" ma:root="true" ma:fieldsID="bbda6a33cb00ec85f2a1df1ab66663f5" ns3:_="" ns4:_="">
    <xsd:import namespace="5fc4c768-f09e-4d0c-ab5c-c80f80787105"/>
    <xsd:import namespace="bdda86be-e44b-42fd-bcdd-4318358412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4c768-f09e-4d0c-ab5c-c80f80787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a86be-e44b-42fd-bcdd-431835841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7D75-BF82-4066-A0D5-504E1A87B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4c768-f09e-4d0c-ab5c-c80f80787105"/>
    <ds:schemaRef ds:uri="bdda86be-e44b-42fd-bcdd-431835841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31839-5DCB-497A-8288-BE588F4CE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0A1F5-771B-40F2-AF43-0074FACFB5CB}">
  <ds:schemaRefs>
    <ds:schemaRef ds:uri="bdda86be-e44b-42fd-bcdd-4318358412ff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5fc4c768-f09e-4d0c-ab5c-c80f80787105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C344B9-C824-40E4-9902-6D19337B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Objective Update – First Quarter (April – June 2015)</vt:lpstr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Objective Update – First Quarter (April – June 2015)</dc:title>
  <dc:creator>Suzanne Willett</dc:creator>
  <cp:lastModifiedBy>Samantha Marren (CS)</cp:lastModifiedBy>
  <cp:revision>2</cp:revision>
  <cp:lastPrinted>2017-11-22T18:06:00Z</cp:lastPrinted>
  <dcterms:created xsi:type="dcterms:W3CDTF">2021-01-11T21:21:00Z</dcterms:created>
  <dcterms:modified xsi:type="dcterms:W3CDTF">2021-01-11T21:21:00Z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0x010100D52D597DD51B864697956C2C64B3D5DB</vt:lpwstr>
  </property>
</Properties>
</file>